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D4C3A" w14:textId="2BE50BFB" w:rsidR="00C91125" w:rsidRPr="003B7240" w:rsidRDefault="00C91125" w:rsidP="00C445E9">
      <w:pPr>
        <w:pStyle w:val="NoSpacing"/>
        <w:jc w:val="center"/>
        <w:rPr>
          <w:rFonts w:ascii="Calibri" w:hAnsi="Calibri" w:cs="Calibri"/>
          <w:b/>
          <w:bCs/>
        </w:rPr>
      </w:pPr>
      <w:r w:rsidRPr="003B7240">
        <w:rPr>
          <w:rFonts w:ascii="Calibri" w:hAnsi="Calibri" w:cs="Calibri"/>
          <w:b/>
          <w:bCs/>
        </w:rPr>
        <w:t>Vermont Judiciary Committee on Artificial Intelligence and the Courts</w:t>
      </w:r>
    </w:p>
    <w:p w14:paraId="71B7BDD4" w14:textId="0D0979B3" w:rsidR="007445DC" w:rsidRPr="003B7240" w:rsidRDefault="00C445E9" w:rsidP="00C445E9">
      <w:pPr>
        <w:pStyle w:val="NoSpacing"/>
        <w:jc w:val="center"/>
        <w:rPr>
          <w:rFonts w:ascii="Calibri" w:hAnsi="Calibri" w:cs="Calibri"/>
          <w:b/>
          <w:bCs/>
        </w:rPr>
      </w:pPr>
      <w:r w:rsidRPr="003B7240">
        <w:rPr>
          <w:rFonts w:ascii="Calibri" w:hAnsi="Calibri" w:cs="Calibri"/>
          <w:b/>
          <w:bCs/>
        </w:rPr>
        <w:t>Subcommittee on Disciplinary Rules</w:t>
      </w:r>
    </w:p>
    <w:p w14:paraId="13F56AFA" w14:textId="77777777" w:rsidR="00F978C2" w:rsidRPr="003B7240" w:rsidRDefault="00F978C2" w:rsidP="00C445E9">
      <w:pPr>
        <w:pStyle w:val="NoSpacing"/>
        <w:jc w:val="center"/>
        <w:rPr>
          <w:rFonts w:ascii="Calibri" w:hAnsi="Calibri" w:cs="Calibri"/>
          <w:b/>
          <w:bCs/>
        </w:rPr>
      </w:pPr>
    </w:p>
    <w:p w14:paraId="62BB8C09" w14:textId="750492D1" w:rsidR="00F978C2" w:rsidRPr="00F978C2" w:rsidRDefault="00F978C2" w:rsidP="00C445E9">
      <w:pPr>
        <w:pStyle w:val="NoSpacing"/>
        <w:jc w:val="center"/>
        <w:rPr>
          <w:b/>
          <w:bCs/>
          <w:u w:val="single"/>
        </w:rPr>
      </w:pPr>
      <w:r w:rsidRPr="003B7240">
        <w:rPr>
          <w:rFonts w:ascii="Calibri" w:hAnsi="Calibri" w:cs="Calibri"/>
          <w:b/>
          <w:bCs/>
          <w:u w:val="single"/>
        </w:rPr>
        <w:t>Recommendation</w:t>
      </w:r>
      <w:r w:rsidR="003B7240">
        <w:rPr>
          <w:rFonts w:ascii="Calibri" w:hAnsi="Calibri" w:cs="Calibri"/>
          <w:b/>
          <w:bCs/>
          <w:u w:val="single"/>
        </w:rPr>
        <w:t xml:space="preserve"> &amp; Guidance</w:t>
      </w:r>
    </w:p>
    <w:p w14:paraId="5623BD4B" w14:textId="77777777" w:rsidR="00C445E9" w:rsidRDefault="00C445E9" w:rsidP="00C445E9">
      <w:pPr>
        <w:pStyle w:val="NoSpacing"/>
        <w:jc w:val="center"/>
        <w:rPr>
          <w:b/>
          <w:bCs/>
        </w:rPr>
      </w:pPr>
    </w:p>
    <w:p w14:paraId="12B6AA91" w14:textId="10CEDA28" w:rsidR="00DC772C" w:rsidRDefault="00F978C2" w:rsidP="00F978C2">
      <w:pPr>
        <w:rPr>
          <w:rFonts w:ascii="Calibri" w:hAnsi="Calibri" w:cs="Calibri"/>
        </w:rPr>
      </w:pPr>
      <w:r w:rsidRPr="00DD48DC">
        <w:rPr>
          <w:rFonts w:ascii="Calibri" w:hAnsi="Calibri" w:cs="Calibri"/>
        </w:rPr>
        <w:t xml:space="preserve">The </w:t>
      </w:r>
      <w:r w:rsidR="003B7240" w:rsidRPr="00DD48DC">
        <w:rPr>
          <w:rFonts w:ascii="Calibri" w:hAnsi="Calibri" w:cs="Calibri"/>
        </w:rPr>
        <w:t>s</w:t>
      </w:r>
      <w:r w:rsidRPr="00DD48DC">
        <w:rPr>
          <w:rFonts w:ascii="Calibri" w:hAnsi="Calibri" w:cs="Calibri"/>
        </w:rPr>
        <w:t>ubcommittee</w:t>
      </w:r>
      <w:r w:rsidR="00DF2CAB">
        <w:rPr>
          <w:rFonts w:ascii="Calibri" w:hAnsi="Calibri" w:cs="Calibri"/>
        </w:rPr>
        <w:t xml:space="preserve"> was charged with studying whether</w:t>
      </w:r>
      <w:r w:rsidR="00857370">
        <w:rPr>
          <w:rFonts w:ascii="Calibri" w:hAnsi="Calibri" w:cs="Calibri"/>
        </w:rPr>
        <w:t xml:space="preserve"> the emergence of</w:t>
      </w:r>
      <w:r w:rsidR="00DF2CAB">
        <w:rPr>
          <w:rFonts w:ascii="Calibri" w:hAnsi="Calibri" w:cs="Calibri"/>
        </w:rPr>
        <w:t xml:space="preserve"> </w:t>
      </w:r>
      <w:r w:rsidRPr="00DD48DC">
        <w:rPr>
          <w:rFonts w:ascii="Calibri" w:hAnsi="Calibri" w:cs="Calibri"/>
        </w:rPr>
        <w:t>Generative Artificial Intelligence warrants amendments to the Vermont Rules of Professional Conduct or to the Vermont Code of Judicial Conduct</w:t>
      </w:r>
      <w:r w:rsidR="001960FC">
        <w:rPr>
          <w:rFonts w:ascii="Calibri" w:hAnsi="Calibri" w:cs="Calibri"/>
        </w:rPr>
        <w:t xml:space="preserve">. </w:t>
      </w:r>
      <w:r w:rsidRPr="00DD48DC">
        <w:rPr>
          <w:rFonts w:ascii="Calibri" w:hAnsi="Calibri" w:cs="Calibri"/>
        </w:rPr>
        <w:t xml:space="preserve">The subcommittee concludes that it does not </w:t>
      </w:r>
      <w:r w:rsidR="00D35A2E">
        <w:rPr>
          <w:rFonts w:ascii="Calibri" w:hAnsi="Calibri" w:cs="Calibri"/>
        </w:rPr>
        <w:t>but that guidance for the bar is appropriate.</w:t>
      </w:r>
      <w:r w:rsidRPr="00DD48DC">
        <w:rPr>
          <w:rFonts w:ascii="Calibri" w:hAnsi="Calibri" w:cs="Calibri"/>
        </w:rPr>
        <w:t xml:space="preserve"> </w:t>
      </w:r>
    </w:p>
    <w:p w14:paraId="427283EB" w14:textId="2274F1F6" w:rsidR="000600FE" w:rsidRPr="000600FE" w:rsidRDefault="000600FE" w:rsidP="000600FE">
      <w:pPr>
        <w:pStyle w:val="ListParagraph"/>
        <w:numPr>
          <w:ilvl w:val="0"/>
          <w:numId w:val="2"/>
        </w:numPr>
        <w:rPr>
          <w:rFonts w:ascii="Calibri" w:hAnsi="Calibri" w:cs="Calibri"/>
        </w:rPr>
      </w:pPr>
      <w:r w:rsidRPr="000600FE">
        <w:rPr>
          <w:rFonts w:ascii="Calibri" w:hAnsi="Calibri" w:cs="Calibri"/>
          <w:b/>
          <w:bCs/>
          <w:u w:val="single"/>
        </w:rPr>
        <w:t>The Subcommittee</w:t>
      </w:r>
      <w:r>
        <w:rPr>
          <w:rFonts w:ascii="Calibri" w:hAnsi="Calibri" w:cs="Calibri"/>
          <w:b/>
          <w:bCs/>
        </w:rPr>
        <w:t>.</w:t>
      </w:r>
    </w:p>
    <w:p w14:paraId="4C0090F2" w14:textId="5026B71F" w:rsidR="000600FE" w:rsidRDefault="000600FE" w:rsidP="00D9030C">
      <w:pPr>
        <w:spacing w:line="240" w:lineRule="auto"/>
        <w:ind w:left="1080"/>
        <w:rPr>
          <w:rFonts w:ascii="Calibri" w:hAnsi="Calibri" w:cs="Calibri"/>
          <w:i/>
          <w:iCs/>
        </w:rPr>
      </w:pPr>
      <w:r>
        <w:rPr>
          <w:rFonts w:ascii="Calibri" w:hAnsi="Calibri" w:cs="Calibri"/>
        </w:rPr>
        <w:t xml:space="preserve">Ed Adrian, Esq., </w:t>
      </w:r>
      <w:r>
        <w:rPr>
          <w:rFonts w:ascii="Calibri" w:hAnsi="Calibri" w:cs="Calibri"/>
          <w:i/>
          <w:iCs/>
        </w:rPr>
        <w:t>Monaghan Safar</w:t>
      </w:r>
    </w:p>
    <w:p w14:paraId="4C7ADD82" w14:textId="63F02D15" w:rsidR="000600FE" w:rsidRPr="000600FE" w:rsidRDefault="000600FE" w:rsidP="00D9030C">
      <w:pPr>
        <w:spacing w:line="240" w:lineRule="auto"/>
        <w:ind w:left="1080"/>
        <w:rPr>
          <w:rFonts w:ascii="Calibri" w:hAnsi="Calibri" w:cs="Calibri"/>
          <w:i/>
          <w:iCs/>
        </w:rPr>
      </w:pPr>
      <w:r>
        <w:rPr>
          <w:rFonts w:ascii="Calibri" w:hAnsi="Calibri" w:cs="Calibri"/>
        </w:rPr>
        <w:t xml:space="preserve">Merrill Bent, Esq., </w:t>
      </w:r>
      <w:proofErr w:type="spellStart"/>
      <w:r>
        <w:rPr>
          <w:rFonts w:ascii="Calibri" w:hAnsi="Calibri" w:cs="Calibri"/>
          <w:i/>
          <w:iCs/>
        </w:rPr>
        <w:t>Woolmington</w:t>
      </w:r>
      <w:proofErr w:type="spellEnd"/>
      <w:r>
        <w:rPr>
          <w:rFonts w:ascii="Calibri" w:hAnsi="Calibri" w:cs="Calibri"/>
          <w:i/>
          <w:iCs/>
        </w:rPr>
        <w:t xml:space="preserve">, Campbell, Bent &amp; </w:t>
      </w:r>
      <w:proofErr w:type="spellStart"/>
      <w:r>
        <w:rPr>
          <w:rFonts w:ascii="Calibri" w:hAnsi="Calibri" w:cs="Calibri"/>
          <w:i/>
          <w:iCs/>
        </w:rPr>
        <w:t>Stasny</w:t>
      </w:r>
      <w:proofErr w:type="spellEnd"/>
    </w:p>
    <w:p w14:paraId="38AD9348" w14:textId="4262310D" w:rsidR="000600FE" w:rsidRDefault="000600FE" w:rsidP="00D9030C">
      <w:pPr>
        <w:spacing w:line="240" w:lineRule="auto"/>
        <w:ind w:left="1080"/>
        <w:rPr>
          <w:rFonts w:ascii="Calibri" w:hAnsi="Calibri" w:cs="Calibri"/>
          <w:i/>
          <w:iCs/>
        </w:rPr>
      </w:pPr>
      <w:r>
        <w:rPr>
          <w:rFonts w:ascii="Calibri" w:hAnsi="Calibri" w:cs="Calibri"/>
        </w:rPr>
        <w:t xml:space="preserve">Honorable Alexander Burke, </w:t>
      </w:r>
      <w:r w:rsidRPr="000600FE">
        <w:rPr>
          <w:rFonts w:ascii="Calibri" w:hAnsi="Calibri" w:cs="Calibri"/>
          <w:i/>
          <w:iCs/>
        </w:rPr>
        <w:t>Vermont Superior Judge</w:t>
      </w:r>
    </w:p>
    <w:p w14:paraId="4132F021" w14:textId="74895519" w:rsidR="00D9030C" w:rsidRPr="00D9030C" w:rsidRDefault="00D9030C" w:rsidP="00D9030C">
      <w:pPr>
        <w:spacing w:line="240" w:lineRule="auto"/>
        <w:ind w:left="1080"/>
        <w:rPr>
          <w:rFonts w:ascii="Calibri" w:hAnsi="Calibri" w:cs="Calibri"/>
          <w:i/>
          <w:iCs/>
        </w:rPr>
      </w:pPr>
      <w:r>
        <w:rPr>
          <w:rFonts w:ascii="Calibri" w:hAnsi="Calibri" w:cs="Calibri"/>
        </w:rPr>
        <w:t xml:space="preserve">Zachary Handelman, </w:t>
      </w:r>
      <w:r>
        <w:rPr>
          <w:rFonts w:ascii="Calibri" w:hAnsi="Calibri" w:cs="Calibri"/>
          <w:i/>
          <w:iCs/>
        </w:rPr>
        <w:t>Law Clerk, Vermont Superior Court</w:t>
      </w:r>
    </w:p>
    <w:p w14:paraId="78249E70" w14:textId="23DE2E15" w:rsidR="000600FE" w:rsidRPr="000600FE" w:rsidRDefault="000600FE" w:rsidP="00D9030C">
      <w:pPr>
        <w:spacing w:line="240" w:lineRule="auto"/>
        <w:ind w:left="1080"/>
        <w:rPr>
          <w:rFonts w:ascii="Calibri" w:hAnsi="Calibri" w:cs="Calibri"/>
          <w:i/>
          <w:iCs/>
        </w:rPr>
      </w:pPr>
      <w:r>
        <w:rPr>
          <w:rFonts w:ascii="Calibri" w:hAnsi="Calibri" w:cs="Calibri"/>
        </w:rPr>
        <w:t xml:space="preserve">Michael Kennedy, </w:t>
      </w:r>
      <w:r w:rsidRPr="000600FE">
        <w:rPr>
          <w:rFonts w:ascii="Calibri" w:hAnsi="Calibri" w:cs="Calibri"/>
          <w:i/>
          <w:iCs/>
        </w:rPr>
        <w:t>Vermont Bar Counsel, Chair</w:t>
      </w:r>
    </w:p>
    <w:p w14:paraId="303ACFBA" w14:textId="258BD297" w:rsidR="000600FE" w:rsidRDefault="000600FE" w:rsidP="00D9030C">
      <w:pPr>
        <w:spacing w:line="240" w:lineRule="auto"/>
        <w:ind w:left="1080"/>
        <w:rPr>
          <w:rFonts w:ascii="Calibri" w:hAnsi="Calibri" w:cs="Calibri"/>
          <w:i/>
          <w:iCs/>
        </w:rPr>
      </w:pPr>
      <w:r>
        <w:rPr>
          <w:rFonts w:ascii="Calibri" w:hAnsi="Calibri" w:cs="Calibri"/>
        </w:rPr>
        <w:t xml:space="preserve">Jordana Levine, Esq., </w:t>
      </w:r>
      <w:proofErr w:type="spellStart"/>
      <w:r>
        <w:rPr>
          <w:rFonts w:ascii="Calibri" w:hAnsi="Calibri" w:cs="Calibri"/>
          <w:i/>
          <w:iCs/>
        </w:rPr>
        <w:t>Marsicovertere</w:t>
      </w:r>
      <w:proofErr w:type="spellEnd"/>
      <w:r>
        <w:rPr>
          <w:rFonts w:ascii="Calibri" w:hAnsi="Calibri" w:cs="Calibri"/>
          <w:i/>
          <w:iCs/>
        </w:rPr>
        <w:t xml:space="preserve"> &amp; Levine Law Group</w:t>
      </w:r>
    </w:p>
    <w:p w14:paraId="18F6AC05" w14:textId="2F0C9C9F" w:rsidR="000600FE" w:rsidRDefault="000600FE" w:rsidP="00D9030C">
      <w:pPr>
        <w:spacing w:line="240" w:lineRule="auto"/>
        <w:ind w:left="1080"/>
        <w:rPr>
          <w:rFonts w:ascii="Calibri" w:hAnsi="Calibri" w:cs="Calibri"/>
          <w:i/>
          <w:iCs/>
        </w:rPr>
      </w:pPr>
      <w:r>
        <w:rPr>
          <w:rFonts w:ascii="Calibri" w:hAnsi="Calibri" w:cs="Calibri"/>
        </w:rPr>
        <w:t xml:space="preserve">Andrew Manitsky, </w:t>
      </w:r>
      <w:r>
        <w:rPr>
          <w:rFonts w:ascii="Calibri" w:hAnsi="Calibri" w:cs="Calibri"/>
          <w:i/>
          <w:iCs/>
        </w:rPr>
        <w:t>Manitsky Law</w:t>
      </w:r>
    </w:p>
    <w:p w14:paraId="73A6D773" w14:textId="19C4B6E6" w:rsidR="000600FE" w:rsidRPr="00D9030C" w:rsidRDefault="000600FE" w:rsidP="00D9030C">
      <w:pPr>
        <w:spacing w:line="240" w:lineRule="auto"/>
        <w:ind w:left="1080"/>
        <w:rPr>
          <w:rFonts w:ascii="Calibri" w:hAnsi="Calibri" w:cs="Calibri"/>
          <w:i/>
          <w:iCs/>
        </w:rPr>
      </w:pPr>
      <w:r>
        <w:rPr>
          <w:rFonts w:ascii="Calibri" w:hAnsi="Calibri" w:cs="Calibri"/>
        </w:rPr>
        <w:t xml:space="preserve">Leda Moloff, </w:t>
      </w:r>
      <w:r w:rsidRPr="00D9030C">
        <w:rPr>
          <w:rFonts w:ascii="Calibri" w:hAnsi="Calibri" w:cs="Calibri"/>
          <w:i/>
          <w:iCs/>
        </w:rPr>
        <w:t>General Counsel, Office of the State Court Administrator</w:t>
      </w:r>
    </w:p>
    <w:p w14:paraId="08A31253" w14:textId="77777777" w:rsidR="00D9030C" w:rsidRPr="000600FE" w:rsidRDefault="00D9030C" w:rsidP="00D9030C">
      <w:pPr>
        <w:spacing w:line="240" w:lineRule="auto"/>
        <w:ind w:left="1080"/>
        <w:rPr>
          <w:rFonts w:ascii="Calibri" w:hAnsi="Calibri" w:cs="Calibri"/>
          <w:i/>
          <w:iCs/>
        </w:rPr>
      </w:pPr>
      <w:r>
        <w:rPr>
          <w:rFonts w:ascii="Calibri" w:hAnsi="Calibri" w:cs="Calibri"/>
        </w:rPr>
        <w:t xml:space="preserve">Honorable Mary Morrissey, </w:t>
      </w:r>
      <w:r>
        <w:rPr>
          <w:rFonts w:ascii="Calibri" w:hAnsi="Calibri" w:cs="Calibri"/>
          <w:i/>
          <w:iCs/>
        </w:rPr>
        <w:t>Vermont Superior Judge</w:t>
      </w:r>
    </w:p>
    <w:p w14:paraId="514846A9" w14:textId="603D0A16" w:rsidR="00DF2CAB" w:rsidRPr="00DF2CAB" w:rsidRDefault="00DF2CAB" w:rsidP="00DF2CAB">
      <w:pPr>
        <w:pStyle w:val="ListParagraph"/>
        <w:numPr>
          <w:ilvl w:val="0"/>
          <w:numId w:val="2"/>
        </w:numPr>
        <w:rPr>
          <w:rFonts w:ascii="Calibri" w:hAnsi="Calibri" w:cs="Calibri"/>
          <w:b/>
          <w:bCs/>
          <w:u w:val="single"/>
        </w:rPr>
      </w:pPr>
      <w:r w:rsidRPr="00DF2CAB">
        <w:rPr>
          <w:rFonts w:ascii="Calibri" w:hAnsi="Calibri" w:cs="Calibri"/>
          <w:b/>
          <w:bCs/>
          <w:u w:val="single"/>
        </w:rPr>
        <w:t>Summary.</w:t>
      </w:r>
    </w:p>
    <w:p w14:paraId="6DAE1CD0" w14:textId="5539E053" w:rsidR="00B31FE6" w:rsidRDefault="00DF2CAB" w:rsidP="00F978C2">
      <w:pPr>
        <w:rPr>
          <w:rFonts w:ascii="Calibri" w:hAnsi="Calibri" w:cs="Calibri"/>
        </w:rPr>
      </w:pPr>
      <w:r>
        <w:rPr>
          <w:rFonts w:ascii="Calibri" w:hAnsi="Calibri" w:cs="Calibri"/>
        </w:rPr>
        <w:t xml:space="preserve">We met in July, September, October, and December.  We reviewed other jurisdictions’ responses to the legal profession’s </w:t>
      </w:r>
      <w:r w:rsidR="00857370">
        <w:rPr>
          <w:rFonts w:ascii="Calibri" w:hAnsi="Calibri" w:cs="Calibri"/>
        </w:rPr>
        <w:t>use</w:t>
      </w:r>
      <w:r>
        <w:rPr>
          <w:rFonts w:ascii="Calibri" w:hAnsi="Calibri" w:cs="Calibri"/>
        </w:rPr>
        <w:t xml:space="preserve"> of </w:t>
      </w:r>
      <w:r w:rsidR="00CD116A">
        <w:rPr>
          <w:rFonts w:ascii="Calibri" w:hAnsi="Calibri" w:cs="Calibri"/>
        </w:rPr>
        <w:t>G</w:t>
      </w:r>
      <w:r>
        <w:rPr>
          <w:rFonts w:ascii="Calibri" w:hAnsi="Calibri" w:cs="Calibri"/>
        </w:rPr>
        <w:t>enerative Artificial Intelligence (GAI).</w:t>
      </w:r>
      <w:r w:rsidR="00AA2633">
        <w:rPr>
          <w:rStyle w:val="FootnoteReference"/>
          <w:rFonts w:ascii="Calibri" w:hAnsi="Calibri" w:cs="Calibri"/>
        </w:rPr>
        <w:footnoteReference w:id="1"/>
      </w:r>
      <w:r w:rsidR="00D35A2E">
        <w:rPr>
          <w:rFonts w:ascii="Calibri" w:hAnsi="Calibri" w:cs="Calibri"/>
        </w:rPr>
        <w:t xml:space="preserve"> </w:t>
      </w:r>
      <w:r>
        <w:rPr>
          <w:rFonts w:ascii="Calibri" w:hAnsi="Calibri" w:cs="Calibri"/>
        </w:rPr>
        <w:t xml:space="preserve">In our opinion, </w:t>
      </w:r>
      <w:r w:rsidR="00B31FE6">
        <w:rPr>
          <w:rFonts w:ascii="Calibri" w:hAnsi="Calibri" w:cs="Calibri"/>
        </w:rPr>
        <w:t xml:space="preserve">the use of GAI does not change or alter a lawyer or judge’s professional obligations.  That is, </w:t>
      </w:r>
      <w:r>
        <w:rPr>
          <w:rFonts w:ascii="Calibri" w:hAnsi="Calibri" w:cs="Calibri"/>
        </w:rPr>
        <w:t>the Vermont Rules of Professional Conduct (</w:t>
      </w:r>
      <w:r w:rsidR="00761E64">
        <w:rPr>
          <w:rFonts w:ascii="Calibri" w:hAnsi="Calibri" w:cs="Calibri"/>
        </w:rPr>
        <w:t>V</w:t>
      </w:r>
      <w:r>
        <w:rPr>
          <w:rFonts w:ascii="Calibri" w:hAnsi="Calibri" w:cs="Calibri"/>
        </w:rPr>
        <w:t>RPC) and the Vermont Code of Judicial Conduct (</w:t>
      </w:r>
      <w:r w:rsidR="00761E64">
        <w:rPr>
          <w:rFonts w:ascii="Calibri" w:hAnsi="Calibri" w:cs="Calibri"/>
        </w:rPr>
        <w:t>V</w:t>
      </w:r>
      <w:r>
        <w:rPr>
          <w:rFonts w:ascii="Calibri" w:hAnsi="Calibri" w:cs="Calibri"/>
        </w:rPr>
        <w:t>CJC)</w:t>
      </w:r>
      <w:r w:rsidR="00B31FE6">
        <w:rPr>
          <w:rFonts w:ascii="Calibri" w:hAnsi="Calibri" w:cs="Calibri"/>
        </w:rPr>
        <w:t xml:space="preserve"> establish the contours of conduct that is either authorized or prohibited. A lawyer or judge’s use or misuse of GAI falls within the confines of those contours. Therefore, we do not recommend amending the </w:t>
      </w:r>
      <w:r w:rsidR="00761E64">
        <w:rPr>
          <w:rFonts w:ascii="Calibri" w:hAnsi="Calibri" w:cs="Calibri"/>
        </w:rPr>
        <w:t>V</w:t>
      </w:r>
      <w:r w:rsidR="00B31FE6">
        <w:rPr>
          <w:rFonts w:ascii="Calibri" w:hAnsi="Calibri" w:cs="Calibri"/>
        </w:rPr>
        <w:t xml:space="preserve">RPC or the </w:t>
      </w:r>
      <w:r w:rsidR="00761E64">
        <w:rPr>
          <w:rFonts w:ascii="Calibri" w:hAnsi="Calibri" w:cs="Calibri"/>
        </w:rPr>
        <w:t>V</w:t>
      </w:r>
      <w:r w:rsidR="00B31FE6">
        <w:rPr>
          <w:rFonts w:ascii="Calibri" w:hAnsi="Calibri" w:cs="Calibri"/>
        </w:rPr>
        <w:t>CJC.</w:t>
      </w:r>
      <w:r w:rsidR="00B31FE6">
        <w:rPr>
          <w:rStyle w:val="FootnoteReference"/>
          <w:rFonts w:ascii="Calibri" w:hAnsi="Calibri" w:cs="Calibri"/>
        </w:rPr>
        <w:footnoteReference w:id="2"/>
      </w:r>
      <w:r w:rsidR="00B31FE6">
        <w:rPr>
          <w:rFonts w:ascii="Calibri" w:hAnsi="Calibri" w:cs="Calibri"/>
        </w:rPr>
        <w:t xml:space="preserve">  </w:t>
      </w:r>
    </w:p>
    <w:p w14:paraId="7E540309" w14:textId="09526F75" w:rsidR="00D16653" w:rsidRDefault="00D16653" w:rsidP="00F978C2">
      <w:pPr>
        <w:rPr>
          <w:rFonts w:ascii="Calibri" w:hAnsi="Calibri" w:cs="Calibri"/>
          <w:b/>
          <w:bCs/>
        </w:rPr>
      </w:pPr>
      <w:r>
        <w:rPr>
          <w:rFonts w:ascii="Calibri" w:hAnsi="Calibri" w:cs="Calibri"/>
        </w:rPr>
        <w:t xml:space="preserve">Rather, the profession’s increased use of GAI provides an opportunity to remind lawyers and judges of the professional duties most likely impacted </w:t>
      </w:r>
      <w:r w:rsidR="00FC5AF1">
        <w:rPr>
          <w:rFonts w:ascii="Calibri" w:hAnsi="Calibri" w:cs="Calibri"/>
        </w:rPr>
        <w:t xml:space="preserve">thereby. </w:t>
      </w:r>
      <w:r>
        <w:rPr>
          <w:rFonts w:ascii="Calibri" w:hAnsi="Calibri" w:cs="Calibri"/>
        </w:rPr>
        <w:t>We recommend sharing that reminder through the guidance that follows.</w:t>
      </w:r>
    </w:p>
    <w:p w14:paraId="4D94EF72" w14:textId="20DAC936" w:rsidR="00717311" w:rsidRPr="000600FE" w:rsidRDefault="00717311" w:rsidP="000600FE">
      <w:pPr>
        <w:pStyle w:val="ListParagraph"/>
        <w:numPr>
          <w:ilvl w:val="0"/>
          <w:numId w:val="3"/>
        </w:numPr>
        <w:jc w:val="center"/>
        <w:rPr>
          <w:rFonts w:ascii="Calibri" w:hAnsi="Calibri" w:cs="Calibri"/>
          <w:u w:val="single"/>
        </w:rPr>
      </w:pPr>
      <w:r w:rsidRPr="000600FE">
        <w:rPr>
          <w:rFonts w:ascii="Calibri" w:hAnsi="Calibri" w:cs="Calibri"/>
          <w:b/>
          <w:bCs/>
          <w:u w:val="single"/>
        </w:rPr>
        <w:t>GUIDANCE FOR LAWYERS</w:t>
      </w:r>
    </w:p>
    <w:p w14:paraId="38BBBD92" w14:textId="0B0741AE" w:rsidR="003B7240" w:rsidRPr="00DD48DC" w:rsidRDefault="003B7240" w:rsidP="003B7240">
      <w:pPr>
        <w:pStyle w:val="ListParagraph"/>
        <w:numPr>
          <w:ilvl w:val="0"/>
          <w:numId w:val="1"/>
        </w:numPr>
        <w:rPr>
          <w:rFonts w:ascii="Calibri" w:hAnsi="Calibri" w:cs="Calibri"/>
          <w:b/>
          <w:bCs/>
        </w:rPr>
      </w:pPr>
      <w:r w:rsidRPr="00DD48DC">
        <w:rPr>
          <w:rFonts w:ascii="Calibri" w:hAnsi="Calibri" w:cs="Calibri"/>
          <w:b/>
          <w:bCs/>
          <w:u w:val="single"/>
        </w:rPr>
        <w:t>Competence</w:t>
      </w:r>
      <w:r w:rsidR="00346265" w:rsidRPr="00DD48DC">
        <w:rPr>
          <w:rFonts w:ascii="Calibri" w:hAnsi="Calibri" w:cs="Calibri"/>
          <w:b/>
          <w:bCs/>
          <w:u w:val="single"/>
        </w:rPr>
        <w:t>.</w:t>
      </w:r>
    </w:p>
    <w:p w14:paraId="6A7EB415" w14:textId="792E6424" w:rsidR="003B7240" w:rsidRPr="00DD48DC" w:rsidRDefault="003B7240" w:rsidP="003B7240">
      <w:pPr>
        <w:rPr>
          <w:rFonts w:ascii="Calibri" w:hAnsi="Calibri" w:cs="Calibri"/>
        </w:rPr>
      </w:pPr>
      <w:r w:rsidRPr="00DD48DC">
        <w:rPr>
          <w:rFonts w:ascii="Calibri" w:hAnsi="Calibri" w:cs="Calibri"/>
        </w:rPr>
        <w:lastRenderedPageBreak/>
        <w:t xml:space="preserve">A lawyer must provide competent representation to </w:t>
      </w:r>
      <w:r w:rsidR="00C57BA8">
        <w:rPr>
          <w:rFonts w:ascii="Calibri" w:hAnsi="Calibri" w:cs="Calibri"/>
        </w:rPr>
        <w:t xml:space="preserve">a </w:t>
      </w:r>
      <w:r w:rsidRPr="00DD48DC">
        <w:rPr>
          <w:rFonts w:ascii="Calibri" w:hAnsi="Calibri" w:cs="Calibri"/>
        </w:rPr>
        <w:t>client</w:t>
      </w:r>
      <w:r w:rsidR="00C57BA8">
        <w:rPr>
          <w:rFonts w:ascii="Calibri" w:hAnsi="Calibri" w:cs="Calibri"/>
        </w:rPr>
        <w:t xml:space="preserve">, </w:t>
      </w:r>
      <w:r w:rsidR="00D35A2E">
        <w:rPr>
          <w:rFonts w:ascii="Calibri" w:hAnsi="Calibri" w:cs="Calibri"/>
        </w:rPr>
        <w:t>a duty</w:t>
      </w:r>
      <w:r w:rsidR="00C57BA8">
        <w:rPr>
          <w:rFonts w:ascii="Calibri" w:hAnsi="Calibri" w:cs="Calibri"/>
        </w:rPr>
        <w:t xml:space="preserve"> that “</w:t>
      </w:r>
      <w:r w:rsidRPr="00DD48DC">
        <w:rPr>
          <w:rFonts w:ascii="Calibri" w:hAnsi="Calibri" w:cs="Calibri"/>
        </w:rPr>
        <w:t>requires the legal knowledge, skill, thoroughness, and preparation reasonably necessary for the representation.</w:t>
      </w:r>
      <w:r w:rsidR="00C57BA8">
        <w:rPr>
          <w:rFonts w:ascii="Calibri" w:hAnsi="Calibri" w:cs="Calibri"/>
        </w:rPr>
        <w:t>”</w:t>
      </w:r>
      <w:r w:rsidR="00C57BA8">
        <w:rPr>
          <w:rStyle w:val="FootnoteReference"/>
          <w:rFonts w:ascii="Calibri" w:hAnsi="Calibri" w:cs="Calibri"/>
        </w:rPr>
        <w:footnoteReference w:id="3"/>
      </w:r>
      <w:r w:rsidR="00C57BA8">
        <w:rPr>
          <w:rFonts w:ascii="Calibri" w:hAnsi="Calibri" w:cs="Calibri"/>
        </w:rPr>
        <w:t xml:space="preserve"> The duty is continuing: </w:t>
      </w:r>
      <w:r w:rsidR="00602CEE" w:rsidRPr="00DD48DC">
        <w:rPr>
          <w:rFonts w:ascii="Calibri" w:hAnsi="Calibri" w:cs="Calibri"/>
        </w:rPr>
        <w:t>“[t]o maintain the requisite knowledge and skill, a lawyer should keep abreast of changes in the law and its practice, including the benefits and risks associated with relevant technology.”</w:t>
      </w:r>
      <w:r w:rsidR="00C57BA8">
        <w:rPr>
          <w:rStyle w:val="FootnoteReference"/>
          <w:rFonts w:ascii="Calibri" w:hAnsi="Calibri" w:cs="Calibri"/>
        </w:rPr>
        <w:footnoteReference w:id="4"/>
      </w:r>
    </w:p>
    <w:p w14:paraId="5648A8A9" w14:textId="77777777" w:rsidR="00FC5AF1" w:rsidRDefault="00602CEE" w:rsidP="003B7240">
      <w:pPr>
        <w:rPr>
          <w:rFonts w:ascii="Calibri" w:hAnsi="Calibri" w:cs="Calibri"/>
        </w:rPr>
      </w:pPr>
      <w:r w:rsidRPr="00DD48DC">
        <w:rPr>
          <w:rFonts w:ascii="Calibri" w:hAnsi="Calibri" w:cs="Calibri"/>
        </w:rPr>
        <w:t>GAI is a form of technology that is relevant to the practice of law.  As such, the duty of competence requires lawyers to keep abreast of its risks and benefits</w:t>
      </w:r>
      <w:r w:rsidR="008D2162" w:rsidRPr="00DD48DC">
        <w:rPr>
          <w:rFonts w:ascii="Calibri" w:hAnsi="Calibri" w:cs="Calibri"/>
        </w:rPr>
        <w:t xml:space="preserve">. </w:t>
      </w:r>
    </w:p>
    <w:p w14:paraId="07FE6E7F" w14:textId="7B5C4C2C" w:rsidR="00602CEE" w:rsidRPr="00DD48DC" w:rsidRDefault="00FC5AF1" w:rsidP="003B7240">
      <w:pPr>
        <w:rPr>
          <w:rFonts w:ascii="Calibri" w:hAnsi="Calibri" w:cs="Calibri"/>
        </w:rPr>
      </w:pPr>
      <w:r>
        <w:rPr>
          <w:rFonts w:ascii="Calibri" w:hAnsi="Calibri" w:cs="Calibri"/>
        </w:rPr>
        <w:t>Our role is not to provide a</w:t>
      </w:r>
      <w:r w:rsidR="008D2162" w:rsidRPr="00DD48DC">
        <w:rPr>
          <w:rFonts w:ascii="Calibri" w:hAnsi="Calibri" w:cs="Calibri"/>
        </w:rPr>
        <w:t xml:space="preserve">n exhaustive list of the risks and benefits </w:t>
      </w:r>
      <w:r w:rsidR="00CD116A">
        <w:rPr>
          <w:rFonts w:ascii="Calibri" w:hAnsi="Calibri" w:cs="Calibri"/>
        </w:rPr>
        <w:t xml:space="preserve">of </w:t>
      </w:r>
      <w:r>
        <w:rPr>
          <w:rFonts w:ascii="Calibri" w:hAnsi="Calibri" w:cs="Calibri"/>
        </w:rPr>
        <w:t xml:space="preserve">using GAI. It remains incumbent upon each individual lawyer to act within the contours of the </w:t>
      </w:r>
      <w:r w:rsidR="00761E64">
        <w:rPr>
          <w:rFonts w:ascii="Calibri" w:hAnsi="Calibri" w:cs="Calibri"/>
        </w:rPr>
        <w:t>V</w:t>
      </w:r>
      <w:r>
        <w:rPr>
          <w:rFonts w:ascii="Calibri" w:hAnsi="Calibri" w:cs="Calibri"/>
        </w:rPr>
        <w:t xml:space="preserve">RPC. This includes acting competently to gain an understanding of GAI’s risks and benefits. At times, </w:t>
      </w:r>
      <w:r w:rsidR="00D35A2E">
        <w:rPr>
          <w:rFonts w:ascii="Calibri" w:hAnsi="Calibri" w:cs="Calibri"/>
        </w:rPr>
        <w:t>this might require a lawyer to recognize what they do not know and to consult wit</w:t>
      </w:r>
      <w:r>
        <w:rPr>
          <w:rFonts w:ascii="Calibri" w:hAnsi="Calibri" w:cs="Calibri"/>
        </w:rPr>
        <w:t xml:space="preserve">h a trained professional or someone with expertise in GAI.  </w:t>
      </w:r>
      <w:r w:rsidR="00DD48DC" w:rsidRPr="00DD48DC">
        <w:rPr>
          <w:rFonts w:ascii="Calibri" w:hAnsi="Calibri" w:cs="Calibri"/>
        </w:rPr>
        <w:t xml:space="preserve"> </w:t>
      </w:r>
    </w:p>
    <w:p w14:paraId="7893721D" w14:textId="7EA16E72" w:rsidR="008D2162" w:rsidRDefault="00852DCB" w:rsidP="003B7240">
      <w:pPr>
        <w:rPr>
          <w:rFonts w:ascii="Calibri" w:hAnsi="Calibri" w:cs="Calibri"/>
        </w:rPr>
      </w:pPr>
      <w:r>
        <w:rPr>
          <w:rFonts w:ascii="Calibri" w:hAnsi="Calibri" w:cs="Calibri"/>
        </w:rPr>
        <w:t>In a sense, the duty of competence informs all other duties. That is, a competent understanding</w:t>
      </w:r>
      <w:r w:rsidR="006C75AF">
        <w:rPr>
          <w:rFonts w:ascii="Calibri" w:hAnsi="Calibri" w:cs="Calibri"/>
        </w:rPr>
        <w:t xml:space="preserve"> of</w:t>
      </w:r>
      <w:r>
        <w:rPr>
          <w:rFonts w:ascii="Calibri" w:hAnsi="Calibri" w:cs="Calibri"/>
        </w:rPr>
        <w:t xml:space="preserve"> GAI’s risks and benefits will assist a lawyer </w:t>
      </w:r>
      <w:r w:rsidR="006C75AF">
        <w:rPr>
          <w:rFonts w:ascii="Calibri" w:hAnsi="Calibri" w:cs="Calibri"/>
        </w:rPr>
        <w:t>in complying</w:t>
      </w:r>
      <w:r w:rsidR="00D35A2E">
        <w:rPr>
          <w:rFonts w:ascii="Calibri" w:hAnsi="Calibri" w:cs="Calibri"/>
        </w:rPr>
        <w:t xml:space="preserve"> with</w:t>
      </w:r>
      <w:r>
        <w:rPr>
          <w:rFonts w:ascii="Calibri" w:hAnsi="Calibri" w:cs="Calibri"/>
        </w:rPr>
        <w:t xml:space="preserve"> their </w:t>
      </w:r>
      <w:r w:rsidR="00D35A2E">
        <w:rPr>
          <w:rFonts w:ascii="Calibri" w:hAnsi="Calibri" w:cs="Calibri"/>
        </w:rPr>
        <w:t xml:space="preserve">other </w:t>
      </w:r>
      <w:r>
        <w:rPr>
          <w:rFonts w:ascii="Calibri" w:hAnsi="Calibri" w:cs="Calibri"/>
        </w:rPr>
        <w:t>professional obligations</w:t>
      </w:r>
      <w:r w:rsidR="006F20B7">
        <w:rPr>
          <w:rFonts w:ascii="Calibri" w:hAnsi="Calibri" w:cs="Calibri"/>
        </w:rPr>
        <w:t>.</w:t>
      </w:r>
      <w:r>
        <w:rPr>
          <w:rFonts w:ascii="Calibri" w:hAnsi="Calibri" w:cs="Calibri"/>
        </w:rPr>
        <w:t xml:space="preserve">  To that end, we highlight the professional obligations most likely to require a competent understanding of the risks and benefits of using GAI.</w:t>
      </w:r>
      <w:r>
        <w:rPr>
          <w:rStyle w:val="FootnoteReference"/>
          <w:rFonts w:ascii="Calibri" w:hAnsi="Calibri" w:cs="Calibri"/>
        </w:rPr>
        <w:footnoteReference w:id="5"/>
      </w:r>
    </w:p>
    <w:p w14:paraId="417A12FD" w14:textId="6EA06573" w:rsidR="003B6CFB" w:rsidRPr="003B6CFB" w:rsidRDefault="003B6CFB" w:rsidP="00346265">
      <w:pPr>
        <w:pStyle w:val="ListParagraph"/>
        <w:numPr>
          <w:ilvl w:val="0"/>
          <w:numId w:val="1"/>
        </w:numPr>
        <w:rPr>
          <w:rFonts w:ascii="Calibri" w:hAnsi="Calibri" w:cs="Calibri"/>
          <w:b/>
          <w:bCs/>
        </w:rPr>
      </w:pPr>
      <w:r>
        <w:rPr>
          <w:rFonts w:ascii="Calibri" w:hAnsi="Calibri" w:cs="Calibri"/>
          <w:b/>
          <w:bCs/>
          <w:u w:val="single"/>
        </w:rPr>
        <w:t>Communication</w:t>
      </w:r>
      <w:r w:rsidR="00E56F35">
        <w:rPr>
          <w:rFonts w:ascii="Calibri" w:hAnsi="Calibri" w:cs="Calibri"/>
          <w:b/>
          <w:bCs/>
          <w:u w:val="single"/>
        </w:rPr>
        <w:t>, Objectives, and Means.</w:t>
      </w:r>
    </w:p>
    <w:p w14:paraId="1A4F9298" w14:textId="449C4906" w:rsidR="003B6CFB" w:rsidRDefault="003B6CFB" w:rsidP="003B6CFB">
      <w:pPr>
        <w:rPr>
          <w:rFonts w:ascii="Calibri" w:hAnsi="Calibri" w:cs="Calibri"/>
          <w:i/>
          <w:iCs/>
        </w:rPr>
      </w:pPr>
      <w:r>
        <w:rPr>
          <w:rFonts w:ascii="Calibri" w:hAnsi="Calibri" w:cs="Calibri"/>
        </w:rPr>
        <w:t xml:space="preserve">A lawyer is required to </w:t>
      </w:r>
      <w:r w:rsidRPr="003B6CFB">
        <w:rPr>
          <w:rFonts w:ascii="Calibri" w:hAnsi="Calibri" w:cs="Calibri"/>
        </w:rPr>
        <w:t>“explain a matter to the extent reasonably necessary to permit the client to make informed decisions regarding the representation.”</w:t>
      </w:r>
      <w:r w:rsidR="00C57BA8">
        <w:rPr>
          <w:rStyle w:val="FootnoteReference"/>
          <w:rFonts w:ascii="Calibri" w:hAnsi="Calibri" w:cs="Calibri"/>
        </w:rPr>
        <w:footnoteReference w:id="6"/>
      </w:r>
      <w:r w:rsidRPr="003B6CFB">
        <w:rPr>
          <w:rFonts w:ascii="Calibri" w:hAnsi="Calibri" w:cs="Calibri"/>
        </w:rPr>
        <w:t xml:space="preserve">  In addition, a lawyer must “promptly inform the client of any decision or circumstance with respect to which the client’s informed consent” is required.</w:t>
      </w:r>
      <w:r w:rsidR="00C57BA8">
        <w:rPr>
          <w:rStyle w:val="FootnoteReference"/>
          <w:rFonts w:ascii="Calibri" w:hAnsi="Calibri" w:cs="Calibri"/>
        </w:rPr>
        <w:footnoteReference w:id="7"/>
      </w:r>
      <w:r w:rsidRPr="003B6CFB">
        <w:rPr>
          <w:rFonts w:ascii="Calibri" w:hAnsi="Calibri" w:cs="Calibri"/>
        </w:rPr>
        <w:t xml:space="preserve"> </w:t>
      </w:r>
    </w:p>
    <w:p w14:paraId="54E7A900" w14:textId="70F9475A" w:rsidR="003B6CFB" w:rsidRPr="00E56F35" w:rsidRDefault="00C57BA8" w:rsidP="003B6CFB">
      <w:pPr>
        <w:rPr>
          <w:rFonts w:ascii="Calibri" w:hAnsi="Calibri" w:cs="Calibri"/>
          <w:i/>
          <w:iCs/>
        </w:rPr>
      </w:pPr>
      <w:r>
        <w:rPr>
          <w:rFonts w:ascii="Calibri" w:hAnsi="Calibri" w:cs="Calibri"/>
        </w:rPr>
        <w:t xml:space="preserve">We do </w:t>
      </w:r>
      <w:r w:rsidR="003B6CFB">
        <w:rPr>
          <w:rFonts w:ascii="Calibri" w:hAnsi="Calibri" w:cs="Calibri"/>
        </w:rPr>
        <w:t xml:space="preserve">not discern a duty to disclose the use of GAI to a client unless the use will be in </w:t>
      </w:r>
      <w:r w:rsidR="00D35A2E">
        <w:rPr>
          <w:rFonts w:ascii="Calibri" w:hAnsi="Calibri" w:cs="Calibri"/>
        </w:rPr>
        <w:t>a manner that r</w:t>
      </w:r>
      <w:r w:rsidR="003B6CFB">
        <w:rPr>
          <w:rFonts w:ascii="Calibri" w:hAnsi="Calibri" w:cs="Calibri"/>
        </w:rPr>
        <w:t>equire</w:t>
      </w:r>
      <w:r w:rsidR="00D35A2E">
        <w:rPr>
          <w:rFonts w:ascii="Calibri" w:hAnsi="Calibri" w:cs="Calibri"/>
        </w:rPr>
        <w:t>s</w:t>
      </w:r>
      <w:r w:rsidR="003B6CFB">
        <w:rPr>
          <w:rFonts w:ascii="Calibri" w:hAnsi="Calibri" w:cs="Calibri"/>
        </w:rPr>
        <w:t xml:space="preserve"> the client’s informed consent. For example, when the use of GAI involves the disclosure of confidential information.</w:t>
      </w:r>
      <w:r w:rsidR="00D35A2E">
        <w:rPr>
          <w:rStyle w:val="FootnoteReference"/>
          <w:rFonts w:ascii="Calibri" w:hAnsi="Calibri" w:cs="Calibri"/>
        </w:rPr>
        <w:footnoteReference w:id="8"/>
      </w:r>
      <w:r w:rsidR="00D35A2E">
        <w:rPr>
          <w:rFonts w:ascii="Calibri" w:hAnsi="Calibri" w:cs="Calibri"/>
        </w:rPr>
        <w:t xml:space="preserve"> </w:t>
      </w:r>
      <w:r w:rsidR="00E56F35">
        <w:rPr>
          <w:rFonts w:ascii="Calibri" w:hAnsi="Calibri" w:cs="Calibri"/>
        </w:rPr>
        <w:t>Of course, as part the duty to consult with the client as to the means by which the lawyer will pursue the client’s objective</w:t>
      </w:r>
      <w:r w:rsidR="00B052E5">
        <w:rPr>
          <w:rFonts w:ascii="Calibri" w:hAnsi="Calibri" w:cs="Calibri"/>
        </w:rPr>
        <w:t>s,</w:t>
      </w:r>
      <w:r w:rsidR="00B052E5">
        <w:rPr>
          <w:rStyle w:val="FootnoteReference"/>
          <w:rFonts w:ascii="Calibri" w:hAnsi="Calibri" w:cs="Calibri"/>
        </w:rPr>
        <w:footnoteReference w:id="9"/>
      </w:r>
      <w:r w:rsidR="00E56F35">
        <w:rPr>
          <w:rFonts w:ascii="Calibri" w:hAnsi="Calibri" w:cs="Calibri"/>
        </w:rPr>
        <w:t xml:space="preserve"> a lawyer might consider disclosing to the client at the outset of the representation the lawyer’s intent to use</w:t>
      </w:r>
      <w:r w:rsidR="007F0047">
        <w:rPr>
          <w:rFonts w:ascii="Calibri" w:hAnsi="Calibri" w:cs="Calibri"/>
        </w:rPr>
        <w:t xml:space="preserve"> (</w:t>
      </w:r>
      <w:r w:rsidR="00D76643">
        <w:rPr>
          <w:rFonts w:ascii="Calibri" w:hAnsi="Calibri" w:cs="Calibri"/>
        </w:rPr>
        <w:t xml:space="preserve">and the </w:t>
      </w:r>
      <w:r w:rsidR="00EF58B1">
        <w:rPr>
          <w:rFonts w:ascii="Calibri" w:hAnsi="Calibri" w:cs="Calibri"/>
        </w:rPr>
        <w:t xml:space="preserve">nature and extent of </w:t>
      </w:r>
      <w:r w:rsidR="00DE587B">
        <w:rPr>
          <w:rFonts w:ascii="Calibri" w:hAnsi="Calibri" w:cs="Calibri"/>
        </w:rPr>
        <w:t>their contemplated use of)</w:t>
      </w:r>
      <w:r w:rsidR="00E56F35">
        <w:rPr>
          <w:rFonts w:ascii="Calibri" w:hAnsi="Calibri" w:cs="Calibri"/>
        </w:rPr>
        <w:t xml:space="preserve"> GAI.</w:t>
      </w:r>
    </w:p>
    <w:p w14:paraId="12C78432" w14:textId="044C35E6" w:rsidR="00ED6AF2" w:rsidRPr="00ED6AF2" w:rsidRDefault="00E56F35" w:rsidP="003B6CFB">
      <w:pPr>
        <w:rPr>
          <w:rFonts w:ascii="Calibri" w:hAnsi="Calibri" w:cs="Calibri"/>
        </w:rPr>
      </w:pPr>
      <w:r>
        <w:rPr>
          <w:rFonts w:ascii="Calibri" w:hAnsi="Calibri" w:cs="Calibri"/>
        </w:rPr>
        <w:t>Finally,</w:t>
      </w:r>
      <w:r w:rsidR="00ED6AF2">
        <w:rPr>
          <w:rFonts w:ascii="Calibri" w:hAnsi="Calibri" w:cs="Calibri"/>
        </w:rPr>
        <w:t xml:space="preserve"> while </w:t>
      </w:r>
      <w:r>
        <w:rPr>
          <w:rFonts w:ascii="Calibri" w:hAnsi="Calibri" w:cs="Calibri"/>
        </w:rPr>
        <w:t xml:space="preserve">nothing in the rules prohibits a lawyer from using GAI to communicate with a client, a lawyer’s use of GAI to do so does not diminish the duty </w:t>
      </w:r>
      <w:r w:rsidR="00B052E5">
        <w:rPr>
          <w:rFonts w:ascii="Calibri" w:hAnsi="Calibri" w:cs="Calibri"/>
        </w:rPr>
        <w:t>to communicate</w:t>
      </w:r>
      <w:r w:rsidR="00ED6AF2">
        <w:rPr>
          <w:rFonts w:ascii="Calibri" w:hAnsi="Calibri" w:cs="Calibri"/>
        </w:rPr>
        <w:t xml:space="preserve">.  Thus, </w:t>
      </w:r>
      <w:r w:rsidR="00B052E5">
        <w:rPr>
          <w:rFonts w:ascii="Calibri" w:hAnsi="Calibri" w:cs="Calibri"/>
        </w:rPr>
        <w:t>we urge</w:t>
      </w:r>
      <w:r w:rsidR="00ED6AF2">
        <w:rPr>
          <w:rFonts w:ascii="Calibri" w:hAnsi="Calibri" w:cs="Calibri"/>
        </w:rPr>
        <w:t xml:space="preserve"> caution before relying solely on GAI to provide the nature and scope of communication required by the rule.</w:t>
      </w:r>
    </w:p>
    <w:p w14:paraId="3D3BDE01" w14:textId="33DD079E" w:rsidR="00346265" w:rsidRPr="00DD48DC" w:rsidRDefault="00346265" w:rsidP="00346265">
      <w:pPr>
        <w:pStyle w:val="ListParagraph"/>
        <w:numPr>
          <w:ilvl w:val="0"/>
          <w:numId w:val="1"/>
        </w:numPr>
        <w:rPr>
          <w:rFonts w:ascii="Calibri" w:hAnsi="Calibri" w:cs="Calibri"/>
          <w:b/>
          <w:bCs/>
        </w:rPr>
      </w:pPr>
      <w:r w:rsidRPr="00DD48DC">
        <w:rPr>
          <w:rFonts w:ascii="Calibri" w:hAnsi="Calibri" w:cs="Calibri"/>
          <w:b/>
          <w:bCs/>
          <w:u w:val="single"/>
        </w:rPr>
        <w:t>Confidentiality.</w:t>
      </w:r>
    </w:p>
    <w:p w14:paraId="19F06A69" w14:textId="7EE0AC19" w:rsidR="007B6763" w:rsidRPr="00DD48DC" w:rsidRDefault="00BF0213" w:rsidP="00346265">
      <w:pPr>
        <w:rPr>
          <w:rFonts w:ascii="Calibri" w:hAnsi="Calibri" w:cs="Calibri"/>
          <w:i/>
          <w:iCs/>
        </w:rPr>
      </w:pPr>
      <w:r>
        <w:rPr>
          <w:rFonts w:ascii="Calibri" w:hAnsi="Calibri" w:cs="Calibri"/>
          <w:color w:val="000000"/>
          <w:shd w:val="clear" w:color="auto" w:fill="FFFFFF"/>
        </w:rPr>
        <w:t>A</w:t>
      </w:r>
      <w:r w:rsidR="00346265" w:rsidRPr="00DD48DC">
        <w:rPr>
          <w:rFonts w:ascii="Calibri" w:hAnsi="Calibri" w:cs="Calibri"/>
          <w:color w:val="000000"/>
          <w:shd w:val="clear" w:color="auto" w:fill="FFFFFF"/>
        </w:rPr>
        <w:t xml:space="preserve"> lawyer is prohibited from revealing information related to the representation of a client.</w:t>
      </w:r>
      <w:r w:rsidR="00AA2633">
        <w:rPr>
          <w:rStyle w:val="FootnoteReference"/>
          <w:rFonts w:ascii="Calibri" w:hAnsi="Calibri" w:cs="Calibri"/>
          <w:color w:val="000000"/>
          <w:shd w:val="clear" w:color="auto" w:fill="FFFFFF"/>
        </w:rPr>
        <w:footnoteReference w:id="10"/>
      </w:r>
      <w:r w:rsidR="00AA2633">
        <w:rPr>
          <w:rFonts w:ascii="Calibri" w:hAnsi="Calibri" w:cs="Calibri"/>
          <w:color w:val="000000"/>
          <w:shd w:val="clear" w:color="auto" w:fill="FFFFFF"/>
        </w:rPr>
        <w:t xml:space="preserve"> </w:t>
      </w:r>
      <w:r w:rsidR="00346265" w:rsidRPr="00DD48DC">
        <w:rPr>
          <w:rFonts w:ascii="Calibri" w:hAnsi="Calibri" w:cs="Calibri"/>
          <w:color w:val="000000"/>
          <w:shd w:val="clear" w:color="auto" w:fill="FFFFFF"/>
        </w:rPr>
        <w:t xml:space="preserve">The duty </w:t>
      </w:r>
      <w:r>
        <w:rPr>
          <w:rFonts w:ascii="Calibri" w:hAnsi="Calibri" w:cs="Calibri"/>
          <w:color w:val="000000"/>
          <w:shd w:val="clear" w:color="auto" w:fill="FFFFFF"/>
        </w:rPr>
        <w:t>of confidentiality includes making</w:t>
      </w:r>
      <w:r w:rsidR="00346265" w:rsidRPr="00DD48DC">
        <w:rPr>
          <w:rFonts w:ascii="Calibri" w:hAnsi="Calibri" w:cs="Calibri"/>
          <w:color w:val="000000"/>
          <w:shd w:val="clear" w:color="auto" w:fill="FFFFFF"/>
        </w:rPr>
        <w:t xml:space="preserve"> </w:t>
      </w:r>
      <w:r>
        <w:rPr>
          <w:rFonts w:ascii="Calibri" w:hAnsi="Calibri" w:cs="Calibri"/>
          <w:color w:val="000000"/>
          <w:shd w:val="clear" w:color="auto" w:fill="FFFFFF"/>
        </w:rPr>
        <w:t>“</w:t>
      </w:r>
      <w:r w:rsidR="00346265" w:rsidRPr="00DD48DC">
        <w:rPr>
          <w:rFonts w:ascii="Calibri" w:hAnsi="Calibri" w:cs="Calibri"/>
        </w:rPr>
        <w:t xml:space="preserve">reasonable efforts to prevent the inadvertent disclosure of, or </w:t>
      </w:r>
      <w:r w:rsidR="00346265" w:rsidRPr="00DD48DC">
        <w:rPr>
          <w:rFonts w:ascii="Calibri" w:hAnsi="Calibri" w:cs="Calibri"/>
        </w:rPr>
        <w:lastRenderedPageBreak/>
        <w:t>unauthorized access to, information relating to the representation of a client</w:t>
      </w:r>
      <w:r w:rsidR="00AA2633">
        <w:rPr>
          <w:rFonts w:ascii="Calibri" w:hAnsi="Calibri" w:cs="Calibri"/>
        </w:rPr>
        <w:t>, ”</w:t>
      </w:r>
      <w:r w:rsidR="00AA2633">
        <w:rPr>
          <w:rStyle w:val="FootnoteReference"/>
          <w:rFonts w:ascii="Calibri" w:hAnsi="Calibri" w:cs="Calibri"/>
        </w:rPr>
        <w:footnoteReference w:id="11"/>
      </w:r>
      <w:r w:rsidR="00AA2633">
        <w:rPr>
          <w:rFonts w:ascii="Calibri" w:hAnsi="Calibri" w:cs="Calibri"/>
        </w:rPr>
        <w:t xml:space="preserve"> as well as a duty</w:t>
      </w:r>
      <w:r w:rsidR="007B6763" w:rsidRPr="00DD48DC">
        <w:rPr>
          <w:rFonts w:ascii="Calibri" w:hAnsi="Calibri" w:cs="Calibri"/>
        </w:rPr>
        <w:t xml:space="preserve"> to act competently when doing so.</w:t>
      </w:r>
      <w:r w:rsidR="00AA2633">
        <w:rPr>
          <w:rStyle w:val="FootnoteReference"/>
          <w:rFonts w:ascii="Calibri" w:hAnsi="Calibri" w:cs="Calibri"/>
        </w:rPr>
        <w:footnoteReference w:id="12"/>
      </w:r>
    </w:p>
    <w:p w14:paraId="53B922DC" w14:textId="6CDC3920" w:rsidR="007B6763" w:rsidRPr="00DD48DC" w:rsidRDefault="00BF0213" w:rsidP="00346265">
      <w:pPr>
        <w:rPr>
          <w:rFonts w:ascii="Calibri" w:hAnsi="Calibri" w:cs="Calibri"/>
          <w:i/>
          <w:iCs/>
        </w:rPr>
      </w:pPr>
      <w:r>
        <w:rPr>
          <w:rFonts w:ascii="Calibri" w:hAnsi="Calibri" w:cs="Calibri"/>
          <w:color w:val="000000"/>
          <w:shd w:val="clear" w:color="auto" w:fill="FFFFFF"/>
        </w:rPr>
        <w:t xml:space="preserve">While there are limited circumstances in which a lawyer may disclose otherwise confidential information, “to use </w:t>
      </w:r>
      <w:r w:rsidR="007B6763" w:rsidRPr="00DD48DC">
        <w:rPr>
          <w:rFonts w:ascii="Calibri" w:hAnsi="Calibri" w:cs="Calibri"/>
          <w:color w:val="000000"/>
          <w:shd w:val="clear" w:color="auto" w:fill="FFFFFF"/>
        </w:rPr>
        <w:t>GAI” is not one of th</w:t>
      </w:r>
      <w:r>
        <w:rPr>
          <w:rFonts w:ascii="Calibri" w:hAnsi="Calibri" w:cs="Calibri"/>
          <w:color w:val="000000"/>
          <w:shd w:val="clear" w:color="auto" w:fill="FFFFFF"/>
        </w:rPr>
        <w:t xml:space="preserve">em. </w:t>
      </w:r>
      <w:r w:rsidR="007B6763" w:rsidRPr="00DD48DC">
        <w:rPr>
          <w:rFonts w:ascii="Calibri" w:hAnsi="Calibri" w:cs="Calibri"/>
          <w:color w:val="000000"/>
          <w:shd w:val="clear" w:color="auto" w:fill="FFFFFF"/>
        </w:rPr>
        <w:t>Thus, a lawyer should understand that the use of GAI can present the risk of an unauthorized disclosure of information related to a representation.</w:t>
      </w:r>
    </w:p>
    <w:p w14:paraId="0B341F08" w14:textId="18DD6E53" w:rsidR="00346265" w:rsidRDefault="007B6763" w:rsidP="00346265">
      <w:pPr>
        <w:rPr>
          <w:rFonts w:ascii="Calibri" w:hAnsi="Calibri" w:cs="Calibri"/>
          <w:color w:val="000000"/>
          <w:shd w:val="clear" w:color="auto" w:fill="FFFFFF"/>
        </w:rPr>
      </w:pPr>
      <w:r w:rsidRPr="00DD48DC">
        <w:rPr>
          <w:rFonts w:ascii="Calibri" w:hAnsi="Calibri" w:cs="Calibri"/>
          <w:color w:val="000000"/>
          <w:shd w:val="clear" w:color="auto" w:fill="FFFFFF"/>
        </w:rPr>
        <w:t xml:space="preserve">To safeguard against such risk, a lawyer </w:t>
      </w:r>
      <w:r w:rsidR="00BF0213">
        <w:rPr>
          <w:rFonts w:ascii="Calibri" w:hAnsi="Calibri" w:cs="Calibri"/>
          <w:color w:val="000000"/>
          <w:shd w:val="clear" w:color="auto" w:fill="FFFFFF"/>
        </w:rPr>
        <w:t>should</w:t>
      </w:r>
      <w:r w:rsidRPr="00DD48DC">
        <w:rPr>
          <w:rFonts w:ascii="Calibri" w:hAnsi="Calibri" w:cs="Calibri"/>
          <w:color w:val="000000"/>
          <w:shd w:val="clear" w:color="auto" w:fill="FFFFFF"/>
        </w:rPr>
        <w:t xml:space="preserve"> review a GAI tool’s Terms of Service to garner an understanding of whether and how the tool might use input. For example, </w:t>
      </w:r>
      <w:r w:rsidR="00EA60C2">
        <w:rPr>
          <w:rFonts w:ascii="Calibri" w:hAnsi="Calibri" w:cs="Calibri"/>
          <w:color w:val="000000"/>
          <w:shd w:val="clear" w:color="auto" w:fill="FFFFFF"/>
        </w:rPr>
        <w:t>we</w:t>
      </w:r>
      <w:r w:rsidRPr="00DD48DC">
        <w:rPr>
          <w:rFonts w:ascii="Calibri" w:hAnsi="Calibri" w:cs="Calibri"/>
          <w:color w:val="000000"/>
          <w:shd w:val="clear" w:color="auto" w:fill="FFFFFF"/>
        </w:rPr>
        <w:t xml:space="preserve"> understand that </w:t>
      </w:r>
      <w:r w:rsidR="00AC39F4">
        <w:rPr>
          <w:rFonts w:ascii="Calibri" w:hAnsi="Calibri" w:cs="Calibri"/>
          <w:color w:val="000000"/>
          <w:shd w:val="clear" w:color="auto" w:fill="FFFFFF"/>
        </w:rPr>
        <w:t>some</w:t>
      </w:r>
      <w:r w:rsidRPr="00DD48DC">
        <w:rPr>
          <w:rFonts w:ascii="Calibri" w:hAnsi="Calibri" w:cs="Calibri"/>
          <w:color w:val="000000"/>
          <w:shd w:val="clear" w:color="auto" w:fill="FFFFFF"/>
        </w:rPr>
        <w:t xml:space="preserve"> publicly available GAI tools often instruct users against inputting confidential information due to the risk that it will be disclosed or used to teach the tool</w:t>
      </w:r>
      <w:r w:rsidR="00564F26">
        <w:rPr>
          <w:rFonts w:ascii="Calibri" w:hAnsi="Calibri" w:cs="Calibri"/>
          <w:color w:val="000000"/>
          <w:shd w:val="clear" w:color="auto" w:fill="FFFFFF"/>
        </w:rPr>
        <w:t xml:space="preserve"> to learn</w:t>
      </w:r>
      <w:r w:rsidR="00D65556">
        <w:rPr>
          <w:rFonts w:ascii="Calibri" w:hAnsi="Calibri" w:cs="Calibri"/>
          <w:color w:val="000000"/>
          <w:shd w:val="clear" w:color="auto" w:fill="FFFFFF"/>
        </w:rPr>
        <w:t>, while</w:t>
      </w:r>
      <w:r w:rsidR="00977EF9">
        <w:rPr>
          <w:rFonts w:ascii="Calibri" w:hAnsi="Calibri" w:cs="Calibri"/>
          <w:color w:val="000000"/>
          <w:shd w:val="clear" w:color="auto" w:fill="FFFFFF"/>
        </w:rPr>
        <w:t xml:space="preserve"> others expressly promise not to retain or otherwise </w:t>
      </w:r>
      <w:r w:rsidR="00B623A2">
        <w:rPr>
          <w:rFonts w:ascii="Calibri" w:hAnsi="Calibri" w:cs="Calibri"/>
          <w:color w:val="000000"/>
          <w:shd w:val="clear" w:color="auto" w:fill="FFFFFF"/>
        </w:rPr>
        <w:t>spe</w:t>
      </w:r>
      <w:r w:rsidR="003944DC">
        <w:rPr>
          <w:rFonts w:ascii="Calibri" w:hAnsi="Calibri" w:cs="Calibri"/>
          <w:color w:val="000000"/>
          <w:shd w:val="clear" w:color="auto" w:fill="FFFFFF"/>
        </w:rPr>
        <w:t xml:space="preserve">cifically </w:t>
      </w:r>
      <w:r w:rsidR="00977EF9">
        <w:rPr>
          <w:rFonts w:ascii="Calibri" w:hAnsi="Calibri" w:cs="Calibri"/>
          <w:color w:val="000000"/>
          <w:shd w:val="clear" w:color="auto" w:fill="FFFFFF"/>
        </w:rPr>
        <w:t>use any</w:t>
      </w:r>
      <w:r w:rsidR="00B623A2">
        <w:rPr>
          <w:rFonts w:ascii="Calibri" w:hAnsi="Calibri" w:cs="Calibri"/>
          <w:color w:val="000000"/>
          <w:shd w:val="clear" w:color="auto" w:fill="FFFFFF"/>
        </w:rPr>
        <w:t xml:space="preserve"> such information</w:t>
      </w:r>
      <w:r w:rsidRPr="00DD48DC">
        <w:rPr>
          <w:rFonts w:ascii="Calibri" w:hAnsi="Calibri" w:cs="Calibri"/>
          <w:color w:val="000000"/>
          <w:shd w:val="clear" w:color="auto" w:fill="FFFFFF"/>
        </w:rPr>
        <w:t xml:space="preserve">. In any event, whether </w:t>
      </w:r>
      <w:r w:rsidR="00B052E5">
        <w:rPr>
          <w:rFonts w:ascii="Calibri" w:hAnsi="Calibri" w:cs="Calibri"/>
          <w:color w:val="000000"/>
          <w:shd w:val="clear" w:color="auto" w:fill="FFFFFF"/>
        </w:rPr>
        <w:t xml:space="preserve">using a tool that is </w:t>
      </w:r>
      <w:r w:rsidRPr="00DD48DC">
        <w:rPr>
          <w:rFonts w:ascii="Calibri" w:hAnsi="Calibri" w:cs="Calibri"/>
          <w:color w:val="000000"/>
          <w:shd w:val="clear" w:color="auto" w:fill="FFFFFF"/>
        </w:rPr>
        <w:t xml:space="preserve">publicly available or a tool designed specifically for </w:t>
      </w:r>
      <w:r w:rsidR="00DD48DC" w:rsidRPr="00DD48DC">
        <w:rPr>
          <w:rFonts w:ascii="Calibri" w:hAnsi="Calibri" w:cs="Calibri"/>
          <w:color w:val="000000"/>
          <w:shd w:val="clear" w:color="auto" w:fill="FFFFFF"/>
        </w:rPr>
        <w:t xml:space="preserve">the legal profession, a lawyer’s duty is to make reasonable efforts to understand whether and how otherwise confidential information will be used, retained, or disclosed. </w:t>
      </w:r>
      <w:r w:rsidR="00AC39F4">
        <w:rPr>
          <w:rFonts w:ascii="Calibri" w:hAnsi="Calibri" w:cs="Calibri"/>
          <w:color w:val="000000"/>
          <w:shd w:val="clear" w:color="auto" w:fill="FFFFFF"/>
        </w:rPr>
        <w:t>We remind</w:t>
      </w:r>
      <w:r w:rsidR="00A02967">
        <w:rPr>
          <w:rFonts w:ascii="Calibri" w:hAnsi="Calibri" w:cs="Calibri"/>
        </w:rPr>
        <w:t xml:space="preserve"> lawyers that it is not uncommon for Terms of Service to be updated or changed.</w:t>
      </w:r>
    </w:p>
    <w:p w14:paraId="1FF87537" w14:textId="0DEE3433" w:rsidR="00BF0213" w:rsidRDefault="00B052E5" w:rsidP="00346265">
      <w:pPr>
        <w:rPr>
          <w:rFonts w:ascii="Calibri" w:hAnsi="Calibri" w:cs="Calibri"/>
        </w:rPr>
      </w:pPr>
      <w:r>
        <w:rPr>
          <w:rFonts w:ascii="Calibri" w:hAnsi="Calibri" w:cs="Calibri"/>
          <w:color w:val="000000"/>
          <w:shd w:val="clear" w:color="auto" w:fill="FFFFFF"/>
        </w:rPr>
        <w:t xml:space="preserve">A lawyer </w:t>
      </w:r>
      <w:r w:rsidR="008B1EDA">
        <w:rPr>
          <w:rFonts w:ascii="Calibri" w:hAnsi="Calibri" w:cs="Calibri"/>
          <w:color w:val="000000"/>
          <w:shd w:val="clear" w:color="auto" w:fill="FFFFFF"/>
        </w:rPr>
        <w:t>may</w:t>
      </w:r>
      <w:r w:rsidR="00BF0213" w:rsidRPr="007E15A9">
        <w:rPr>
          <w:rFonts w:ascii="Calibri" w:hAnsi="Calibri" w:cs="Calibri"/>
          <w:color w:val="000000"/>
          <w:shd w:val="clear" w:color="auto" w:fill="FFFFFF"/>
        </w:rPr>
        <w:t xml:space="preserve"> reveal confidential information when </w:t>
      </w:r>
      <w:r w:rsidR="00760BCF">
        <w:rPr>
          <w:rFonts w:ascii="Calibri" w:hAnsi="Calibri" w:cs="Calibri"/>
          <w:color w:val="000000"/>
          <w:shd w:val="clear" w:color="auto" w:fill="FFFFFF"/>
        </w:rPr>
        <w:t xml:space="preserve">“the disclosure is impliedly authorized in order to carry out the representation” or when </w:t>
      </w:r>
      <w:r w:rsidR="00BF0213" w:rsidRPr="007E15A9">
        <w:rPr>
          <w:rFonts w:ascii="Calibri" w:hAnsi="Calibri" w:cs="Calibri"/>
          <w:color w:val="000000"/>
          <w:shd w:val="clear" w:color="auto" w:fill="FFFFFF"/>
        </w:rPr>
        <w:t>a client gives “informed consent” to the disclosure.</w:t>
      </w:r>
      <w:r>
        <w:rPr>
          <w:rStyle w:val="FootnoteReference"/>
          <w:rFonts w:ascii="Calibri" w:hAnsi="Calibri" w:cs="Calibri"/>
          <w:color w:val="000000"/>
          <w:shd w:val="clear" w:color="auto" w:fill="FFFFFF"/>
        </w:rPr>
        <w:footnoteReference w:id="13"/>
      </w:r>
      <w:r w:rsidR="00BF0213" w:rsidRPr="007E15A9">
        <w:rPr>
          <w:rFonts w:ascii="Calibri" w:hAnsi="Calibri" w:cs="Calibri"/>
          <w:color w:val="000000"/>
          <w:shd w:val="clear" w:color="auto" w:fill="FFFFFF"/>
        </w:rPr>
        <w:t xml:space="preserve"> </w:t>
      </w:r>
      <w:r>
        <w:rPr>
          <w:rFonts w:ascii="Calibri" w:hAnsi="Calibri" w:cs="Calibri"/>
          <w:color w:val="000000"/>
          <w:shd w:val="clear" w:color="auto" w:fill="FFFFFF"/>
        </w:rPr>
        <w:t xml:space="preserve"> </w:t>
      </w:r>
      <w:r w:rsidR="00B350F6">
        <w:rPr>
          <w:rFonts w:ascii="Calibri" w:hAnsi="Calibri" w:cs="Calibri"/>
          <w:color w:val="000000"/>
          <w:shd w:val="clear" w:color="auto" w:fill="FFFFFF"/>
        </w:rPr>
        <w:t xml:space="preserve">We do not opine on whether disclosure </w:t>
      </w:r>
      <w:r w:rsidR="00DD1960">
        <w:rPr>
          <w:rFonts w:ascii="Calibri" w:hAnsi="Calibri" w:cs="Calibri"/>
          <w:color w:val="000000"/>
          <w:shd w:val="clear" w:color="auto" w:fill="FFFFFF"/>
        </w:rPr>
        <w:t xml:space="preserve">using GAI is “impliedly authorized” </w:t>
      </w:r>
      <w:r w:rsidR="005F3672">
        <w:rPr>
          <w:rFonts w:ascii="Calibri" w:hAnsi="Calibri" w:cs="Calibri"/>
          <w:color w:val="000000"/>
          <w:shd w:val="clear" w:color="auto" w:fill="FFFFFF"/>
        </w:rPr>
        <w:t>in any particular case.  And w</w:t>
      </w:r>
      <w:r w:rsidR="000F3025">
        <w:rPr>
          <w:rFonts w:ascii="Calibri" w:hAnsi="Calibri" w:cs="Calibri"/>
          <w:color w:val="000000"/>
          <w:shd w:val="clear" w:color="auto" w:fill="FFFFFF"/>
        </w:rPr>
        <w:t xml:space="preserve">e remind </w:t>
      </w:r>
      <w:r w:rsidR="00BF0213" w:rsidRPr="007E15A9">
        <w:rPr>
          <w:rFonts w:ascii="Calibri" w:hAnsi="Calibri" w:cs="Calibri"/>
          <w:color w:val="000000"/>
          <w:shd w:val="clear" w:color="auto" w:fill="FFFFFF"/>
        </w:rPr>
        <w:t xml:space="preserve">lawyers that </w:t>
      </w:r>
      <w:r w:rsidR="007E15A9" w:rsidRPr="007E15A9">
        <w:rPr>
          <w:rFonts w:ascii="Calibri" w:hAnsi="Calibri" w:cs="Calibri"/>
          <w:color w:val="000000"/>
          <w:shd w:val="clear" w:color="auto" w:fill="FFFFFF"/>
        </w:rPr>
        <w:t xml:space="preserve">“informed consent” </w:t>
      </w:r>
      <w:r w:rsidR="00AC39F4">
        <w:rPr>
          <w:rFonts w:ascii="Calibri" w:hAnsi="Calibri" w:cs="Calibri"/>
          <w:color w:val="000000"/>
          <w:shd w:val="clear" w:color="auto" w:fill="FFFFFF"/>
        </w:rPr>
        <w:t xml:space="preserve">is defined </w:t>
      </w:r>
      <w:r w:rsidR="007E15A9" w:rsidRPr="007E15A9">
        <w:rPr>
          <w:rFonts w:ascii="Calibri" w:hAnsi="Calibri" w:cs="Calibri"/>
          <w:color w:val="000000"/>
          <w:shd w:val="clear" w:color="auto" w:fill="FFFFFF"/>
        </w:rPr>
        <w:t>as an “</w:t>
      </w:r>
      <w:r w:rsidR="007E15A9" w:rsidRPr="007E15A9">
        <w:rPr>
          <w:rFonts w:ascii="Calibri" w:hAnsi="Calibri" w:cs="Calibri"/>
        </w:rPr>
        <w:t>agreement by a person to a proposed course of conduct after the lawyer has communicated adequate information and explanation about the material risks of and reasonably available alternatives to the proposed course of conduct.”</w:t>
      </w:r>
      <w:r w:rsidR="00AC39F4">
        <w:rPr>
          <w:rStyle w:val="FootnoteReference"/>
          <w:rFonts w:ascii="Calibri" w:hAnsi="Calibri" w:cs="Calibri"/>
        </w:rPr>
        <w:footnoteReference w:id="14"/>
      </w:r>
      <w:r w:rsidR="007E15A9" w:rsidRPr="007E15A9">
        <w:rPr>
          <w:rFonts w:ascii="Calibri" w:hAnsi="Calibri" w:cs="Calibri"/>
        </w:rPr>
        <w:t xml:space="preserve">  </w:t>
      </w:r>
      <w:r w:rsidR="007E15A9">
        <w:rPr>
          <w:rFonts w:ascii="Calibri" w:hAnsi="Calibri" w:cs="Calibri"/>
        </w:rPr>
        <w:t>I</w:t>
      </w:r>
      <w:r w:rsidR="007E15A9" w:rsidRPr="007E15A9">
        <w:rPr>
          <w:rFonts w:ascii="Calibri" w:hAnsi="Calibri" w:cs="Calibri"/>
        </w:rPr>
        <w:t xml:space="preserve">f </w:t>
      </w:r>
      <w:r>
        <w:rPr>
          <w:rFonts w:ascii="Calibri" w:hAnsi="Calibri" w:cs="Calibri"/>
        </w:rPr>
        <w:t>a</w:t>
      </w:r>
      <w:r w:rsidR="007E15A9" w:rsidRPr="007E15A9">
        <w:rPr>
          <w:rFonts w:ascii="Calibri" w:hAnsi="Calibri" w:cs="Calibri"/>
        </w:rPr>
        <w:t xml:space="preserve"> lawyer does not provide the client with </w:t>
      </w:r>
      <w:r w:rsidR="007E15A9">
        <w:rPr>
          <w:rFonts w:ascii="Calibri" w:hAnsi="Calibri" w:cs="Calibri"/>
        </w:rPr>
        <w:t>a competent</w:t>
      </w:r>
      <w:r w:rsidR="007E15A9" w:rsidRPr="007E15A9">
        <w:rPr>
          <w:rFonts w:ascii="Calibri" w:hAnsi="Calibri" w:cs="Calibri"/>
        </w:rPr>
        <w:t xml:space="preserve"> explanation of the risks and benefits of </w:t>
      </w:r>
      <w:r w:rsidR="007E15A9">
        <w:rPr>
          <w:rFonts w:ascii="Calibri" w:hAnsi="Calibri" w:cs="Calibri"/>
        </w:rPr>
        <w:t xml:space="preserve">inputting confidential information to a GAI tool, a </w:t>
      </w:r>
      <w:r w:rsidR="007E15A9" w:rsidRPr="007E15A9">
        <w:rPr>
          <w:rFonts w:ascii="Calibri" w:hAnsi="Calibri" w:cs="Calibri"/>
        </w:rPr>
        <w:t>client</w:t>
      </w:r>
      <w:r w:rsidR="00A02967">
        <w:rPr>
          <w:rFonts w:ascii="Calibri" w:hAnsi="Calibri" w:cs="Calibri"/>
        </w:rPr>
        <w:t xml:space="preserve">’s consent to disclosure is unlikely to be considered “informed.” </w:t>
      </w:r>
    </w:p>
    <w:p w14:paraId="61EF4B50" w14:textId="06553736" w:rsidR="0002639F" w:rsidRPr="0002639F" w:rsidRDefault="0002639F" w:rsidP="00346265">
      <w:pPr>
        <w:rPr>
          <w:rFonts w:ascii="Calibri" w:hAnsi="Calibri" w:cs="Calibri"/>
        </w:rPr>
      </w:pPr>
      <w:r>
        <w:rPr>
          <w:rFonts w:ascii="Calibri" w:hAnsi="Calibri" w:cs="Calibri"/>
        </w:rPr>
        <w:t xml:space="preserve">Finally, the duty of confidentiality is different </w:t>
      </w:r>
      <w:r w:rsidR="00545261">
        <w:rPr>
          <w:rFonts w:ascii="Calibri" w:hAnsi="Calibri" w:cs="Calibri"/>
        </w:rPr>
        <w:t>from</w:t>
      </w:r>
      <w:r>
        <w:rPr>
          <w:rFonts w:ascii="Calibri" w:hAnsi="Calibri" w:cs="Calibri"/>
        </w:rPr>
        <w:t xml:space="preserve"> the attorney-client privilege.</w:t>
      </w:r>
      <w:r w:rsidR="00AC39F4">
        <w:rPr>
          <w:rStyle w:val="FootnoteReference"/>
          <w:rFonts w:ascii="Calibri" w:hAnsi="Calibri" w:cs="Calibri"/>
        </w:rPr>
        <w:footnoteReference w:id="15"/>
      </w:r>
      <w:r w:rsidR="00AC39F4">
        <w:rPr>
          <w:rFonts w:ascii="Calibri" w:hAnsi="Calibri" w:cs="Calibri"/>
        </w:rPr>
        <w:t xml:space="preserve"> </w:t>
      </w:r>
      <w:r>
        <w:rPr>
          <w:rFonts w:ascii="Calibri" w:hAnsi="Calibri" w:cs="Calibri"/>
        </w:rPr>
        <w:t>Nevertheless, when using GAI, a lawyer should act competently to protect the privilege.</w:t>
      </w:r>
    </w:p>
    <w:p w14:paraId="12AF6D23" w14:textId="1BCD8E55" w:rsidR="00A02967" w:rsidRPr="00A02967" w:rsidRDefault="00A02967" w:rsidP="00A02967">
      <w:pPr>
        <w:pStyle w:val="ListParagraph"/>
        <w:numPr>
          <w:ilvl w:val="0"/>
          <w:numId w:val="1"/>
        </w:numPr>
        <w:rPr>
          <w:rFonts w:ascii="Calibri" w:hAnsi="Calibri" w:cs="Calibri"/>
          <w:b/>
          <w:bCs/>
        </w:rPr>
      </w:pPr>
      <w:r>
        <w:rPr>
          <w:rFonts w:ascii="Calibri" w:hAnsi="Calibri" w:cs="Calibri"/>
          <w:b/>
          <w:bCs/>
          <w:u w:val="single"/>
        </w:rPr>
        <w:t>Fees and Expenses.</w:t>
      </w:r>
    </w:p>
    <w:p w14:paraId="27A6A5FD" w14:textId="0CB0DCB2" w:rsidR="001A1029" w:rsidRDefault="00A02967" w:rsidP="00A02967">
      <w:pPr>
        <w:rPr>
          <w:rFonts w:ascii="Calibri" w:hAnsi="Calibri" w:cs="Calibri"/>
        </w:rPr>
      </w:pPr>
      <w:r>
        <w:rPr>
          <w:rFonts w:ascii="Calibri" w:hAnsi="Calibri" w:cs="Calibri"/>
        </w:rPr>
        <w:t>A lawyer is prohibited from charging unreasonable fees or unreasonable costs.</w:t>
      </w:r>
      <w:r w:rsidR="000F3025">
        <w:rPr>
          <w:rStyle w:val="FootnoteReference"/>
          <w:rFonts w:ascii="Calibri" w:hAnsi="Calibri" w:cs="Calibri"/>
        </w:rPr>
        <w:footnoteReference w:id="16"/>
      </w:r>
      <w:r>
        <w:rPr>
          <w:rFonts w:ascii="Calibri" w:hAnsi="Calibri" w:cs="Calibri"/>
          <w:i/>
          <w:iCs/>
        </w:rPr>
        <w:t xml:space="preserve"> </w:t>
      </w:r>
      <w:r w:rsidR="000F3025">
        <w:rPr>
          <w:rFonts w:ascii="Calibri" w:hAnsi="Calibri" w:cs="Calibri"/>
        </w:rPr>
        <w:t>We</w:t>
      </w:r>
      <w:r w:rsidR="00052787">
        <w:rPr>
          <w:rFonts w:ascii="Calibri" w:hAnsi="Calibri" w:cs="Calibri"/>
        </w:rPr>
        <w:t xml:space="preserve"> anticipate that GAI will save time, or reduce the amount of time spent on a matter. The reasonableness of a fee might turn  on a lawyer’s decision to use – or not use – GAI.  For example, it strikes </w:t>
      </w:r>
      <w:r w:rsidR="000F3025">
        <w:rPr>
          <w:rFonts w:ascii="Calibri" w:hAnsi="Calibri" w:cs="Calibri"/>
        </w:rPr>
        <w:t>us as</w:t>
      </w:r>
      <w:r w:rsidR="00052787">
        <w:rPr>
          <w:rFonts w:ascii="Calibri" w:hAnsi="Calibri" w:cs="Calibri"/>
        </w:rPr>
        <w:t xml:space="preserve"> unreasonable to bill a</w:t>
      </w:r>
      <w:r w:rsidR="00F06219">
        <w:rPr>
          <w:rFonts w:ascii="Calibri" w:hAnsi="Calibri" w:cs="Calibri"/>
        </w:rPr>
        <w:t>n hourly</w:t>
      </w:r>
      <w:r w:rsidR="00052787">
        <w:rPr>
          <w:rFonts w:ascii="Calibri" w:hAnsi="Calibri" w:cs="Calibri"/>
        </w:rPr>
        <w:t xml:space="preserve"> client for time saved by the use of GAI</w:t>
      </w:r>
      <w:r w:rsidR="00F06219">
        <w:rPr>
          <w:rFonts w:ascii="Calibri" w:hAnsi="Calibri" w:cs="Calibri"/>
        </w:rPr>
        <w:t xml:space="preserve"> (just as it would be inappropriate to bill</w:t>
      </w:r>
      <w:r w:rsidR="00EB4E9C">
        <w:rPr>
          <w:rFonts w:ascii="Calibri" w:hAnsi="Calibri" w:cs="Calibri"/>
        </w:rPr>
        <w:t xml:space="preserve"> for time saved using </w:t>
      </w:r>
      <w:r w:rsidR="001E4ED4">
        <w:rPr>
          <w:rFonts w:ascii="Calibri" w:hAnsi="Calibri" w:cs="Calibri"/>
        </w:rPr>
        <w:t xml:space="preserve">a legal database like </w:t>
      </w:r>
      <w:r w:rsidR="00EB4E9C">
        <w:rPr>
          <w:rFonts w:ascii="Calibri" w:hAnsi="Calibri" w:cs="Calibri"/>
        </w:rPr>
        <w:t>Westlaw</w:t>
      </w:r>
      <w:r w:rsidR="004021B9">
        <w:rPr>
          <w:rFonts w:ascii="Calibri" w:hAnsi="Calibri" w:cs="Calibri"/>
        </w:rPr>
        <w:t>,</w:t>
      </w:r>
      <w:r w:rsidR="00EB4E9C">
        <w:rPr>
          <w:rFonts w:ascii="Calibri" w:hAnsi="Calibri" w:cs="Calibri"/>
        </w:rPr>
        <w:t xml:space="preserve"> or </w:t>
      </w:r>
      <w:r w:rsidR="004021B9">
        <w:rPr>
          <w:rFonts w:ascii="Calibri" w:hAnsi="Calibri" w:cs="Calibri"/>
        </w:rPr>
        <w:t xml:space="preserve">for time saved by using </w:t>
      </w:r>
      <w:r w:rsidR="00EB4E9C">
        <w:rPr>
          <w:rFonts w:ascii="Calibri" w:hAnsi="Calibri" w:cs="Calibri"/>
        </w:rPr>
        <w:t>standard forms on a lawyer’s computer system)</w:t>
      </w:r>
      <w:r w:rsidR="00052787">
        <w:rPr>
          <w:rFonts w:ascii="Calibri" w:hAnsi="Calibri" w:cs="Calibri"/>
        </w:rPr>
        <w:t xml:space="preserve">. Conversely, there might be situations in which a lawyer’s decision not to use reasonably available GAI results in an unreasonable fee.  </w:t>
      </w:r>
    </w:p>
    <w:p w14:paraId="62CF40C3" w14:textId="4232D0E3" w:rsidR="00A02967" w:rsidRDefault="00052787" w:rsidP="00A02967">
      <w:pPr>
        <w:rPr>
          <w:rFonts w:ascii="Calibri" w:hAnsi="Calibri" w:cs="Calibri"/>
        </w:rPr>
      </w:pPr>
      <w:r w:rsidRPr="001A1029">
        <w:rPr>
          <w:rFonts w:ascii="Calibri" w:hAnsi="Calibri" w:cs="Calibri"/>
        </w:rPr>
        <w:t xml:space="preserve">While </w:t>
      </w:r>
      <w:r w:rsidR="00B052E5">
        <w:rPr>
          <w:rFonts w:ascii="Calibri" w:hAnsi="Calibri" w:cs="Calibri"/>
        </w:rPr>
        <w:t>a lawyer is permitted to charge for</w:t>
      </w:r>
      <w:r w:rsidRPr="001A1029">
        <w:rPr>
          <w:rFonts w:ascii="Calibri" w:hAnsi="Calibri" w:cs="Calibri"/>
        </w:rPr>
        <w:t xml:space="preserve"> </w:t>
      </w:r>
      <w:r w:rsidR="00913569" w:rsidRPr="001A1029">
        <w:rPr>
          <w:rFonts w:ascii="Calibri" w:hAnsi="Calibri" w:cs="Calibri"/>
        </w:rPr>
        <w:t xml:space="preserve">reasonable </w:t>
      </w:r>
      <w:r w:rsidR="001A1029" w:rsidRPr="001A1029">
        <w:rPr>
          <w:rFonts w:ascii="Calibri" w:hAnsi="Calibri" w:cs="Calibri"/>
        </w:rPr>
        <w:t>expense</w:t>
      </w:r>
      <w:r w:rsidR="00B052E5">
        <w:rPr>
          <w:rFonts w:ascii="Calibri" w:hAnsi="Calibri" w:cs="Calibri"/>
        </w:rPr>
        <w:t>s</w:t>
      </w:r>
      <w:r w:rsidR="00913569" w:rsidRPr="001A1029">
        <w:rPr>
          <w:rFonts w:ascii="Calibri" w:hAnsi="Calibri" w:cs="Calibri"/>
        </w:rPr>
        <w:t xml:space="preserve">, </w:t>
      </w:r>
      <w:r w:rsidR="00B052E5">
        <w:rPr>
          <w:rFonts w:ascii="Calibri" w:hAnsi="Calibri" w:cs="Calibri"/>
        </w:rPr>
        <w:t xml:space="preserve">a lawyer should </w:t>
      </w:r>
      <w:r w:rsidR="00913569" w:rsidRPr="001A1029">
        <w:rPr>
          <w:rFonts w:ascii="Calibri" w:hAnsi="Calibri" w:cs="Calibri"/>
        </w:rPr>
        <w:t>communicate to the client the “extent the client will be responsible for any costs, expenses or disbursements in the course of the representatio</w:t>
      </w:r>
      <w:r w:rsidR="00B052E5">
        <w:rPr>
          <w:rFonts w:ascii="Calibri" w:hAnsi="Calibri" w:cs="Calibri"/>
        </w:rPr>
        <w:t>n.”</w:t>
      </w:r>
      <w:r w:rsidR="00B052E5" w:rsidRPr="00B052E5">
        <w:rPr>
          <w:rStyle w:val="FootnoteReference"/>
          <w:rFonts w:ascii="Calibri" w:hAnsi="Calibri" w:cs="Calibri"/>
        </w:rPr>
        <w:t xml:space="preserve"> </w:t>
      </w:r>
      <w:r w:rsidR="00B052E5">
        <w:rPr>
          <w:rStyle w:val="FootnoteReference"/>
          <w:rFonts w:ascii="Calibri" w:hAnsi="Calibri" w:cs="Calibri"/>
        </w:rPr>
        <w:footnoteReference w:id="17"/>
      </w:r>
      <w:r w:rsidR="00B052E5">
        <w:rPr>
          <w:rFonts w:ascii="Calibri" w:hAnsi="Calibri" w:cs="Calibri"/>
        </w:rPr>
        <w:t xml:space="preserve">  Providing the client with “[a]</w:t>
      </w:r>
      <w:r w:rsidR="00913569" w:rsidRPr="001A1029">
        <w:rPr>
          <w:rFonts w:ascii="Calibri" w:hAnsi="Calibri" w:cs="Calibri"/>
        </w:rPr>
        <w:t xml:space="preserve"> written statement concerning the terms of the </w:t>
      </w:r>
      <w:r w:rsidR="00913569" w:rsidRPr="001A1029">
        <w:rPr>
          <w:rFonts w:ascii="Calibri" w:hAnsi="Calibri" w:cs="Calibri"/>
        </w:rPr>
        <w:lastRenderedPageBreak/>
        <w:t>engagement reduces the possibility of misunderstanding.</w:t>
      </w:r>
      <w:r w:rsidR="001A1029" w:rsidRPr="001A1029">
        <w:rPr>
          <w:rFonts w:ascii="Calibri" w:hAnsi="Calibri" w:cs="Calibri"/>
        </w:rPr>
        <w:t>”</w:t>
      </w:r>
      <w:r w:rsidR="00B052E5">
        <w:rPr>
          <w:rStyle w:val="FootnoteReference"/>
          <w:rFonts w:ascii="Calibri" w:hAnsi="Calibri" w:cs="Calibri"/>
        </w:rPr>
        <w:footnoteReference w:id="18"/>
      </w:r>
      <w:r w:rsidR="001A1029" w:rsidRPr="001A1029">
        <w:rPr>
          <w:rFonts w:ascii="Calibri" w:hAnsi="Calibri" w:cs="Calibri"/>
        </w:rPr>
        <w:t xml:space="preserve">  Nothing about the use of GAI </w:t>
      </w:r>
      <w:r w:rsidR="000F3025">
        <w:rPr>
          <w:rFonts w:ascii="Calibri" w:hAnsi="Calibri" w:cs="Calibri"/>
        </w:rPr>
        <w:t>renders</w:t>
      </w:r>
      <w:r w:rsidR="001A1029" w:rsidRPr="001A1029">
        <w:rPr>
          <w:rFonts w:ascii="Calibri" w:hAnsi="Calibri" w:cs="Calibri"/>
        </w:rPr>
        <w:t xml:space="preserve"> the</w:t>
      </w:r>
      <w:r w:rsidR="00957916">
        <w:rPr>
          <w:rFonts w:ascii="Calibri" w:hAnsi="Calibri" w:cs="Calibri"/>
        </w:rPr>
        <w:t>se</w:t>
      </w:r>
      <w:r w:rsidR="001A1029" w:rsidRPr="001A1029">
        <w:rPr>
          <w:rFonts w:ascii="Calibri" w:hAnsi="Calibri" w:cs="Calibri"/>
        </w:rPr>
        <w:t xml:space="preserve"> </w:t>
      </w:r>
      <w:r w:rsidR="00957916">
        <w:rPr>
          <w:rFonts w:ascii="Calibri" w:hAnsi="Calibri" w:cs="Calibri"/>
        </w:rPr>
        <w:t>suggestions</w:t>
      </w:r>
      <w:r w:rsidR="001A1029" w:rsidRPr="001A1029">
        <w:rPr>
          <w:rFonts w:ascii="Calibri" w:hAnsi="Calibri" w:cs="Calibri"/>
        </w:rPr>
        <w:t xml:space="preserve"> any less wise.</w:t>
      </w:r>
    </w:p>
    <w:p w14:paraId="104F7FF2" w14:textId="77D374A6" w:rsidR="001F26B1" w:rsidRPr="001F26B1" w:rsidRDefault="001F26B1" w:rsidP="001F26B1">
      <w:pPr>
        <w:pStyle w:val="ListParagraph"/>
        <w:numPr>
          <w:ilvl w:val="0"/>
          <w:numId w:val="1"/>
        </w:numPr>
        <w:rPr>
          <w:rFonts w:ascii="Calibri" w:hAnsi="Calibri" w:cs="Calibri"/>
          <w:b/>
          <w:bCs/>
        </w:rPr>
      </w:pPr>
      <w:r>
        <w:rPr>
          <w:rFonts w:ascii="Calibri" w:hAnsi="Calibri" w:cs="Calibri"/>
          <w:b/>
          <w:bCs/>
          <w:u w:val="single"/>
        </w:rPr>
        <w:t>Meritorious Claims and Contentions.</w:t>
      </w:r>
    </w:p>
    <w:p w14:paraId="517FA6FF" w14:textId="546614B3" w:rsidR="001F26B1" w:rsidRPr="001F26B1" w:rsidRDefault="001F26B1" w:rsidP="001F26B1">
      <w:pPr>
        <w:rPr>
          <w:rFonts w:ascii="Calibri" w:hAnsi="Calibri" w:cs="Calibri"/>
        </w:rPr>
      </w:pPr>
      <w:r>
        <w:rPr>
          <w:rFonts w:ascii="Calibri" w:hAnsi="Calibri" w:cs="Calibri"/>
        </w:rPr>
        <w:t>A lawyer is prohibited from making claims or asserting issues that lack a reasonable basis in law and fact.</w:t>
      </w:r>
      <w:r w:rsidR="000F3025">
        <w:rPr>
          <w:rStyle w:val="FootnoteReference"/>
          <w:rFonts w:ascii="Calibri" w:hAnsi="Calibri" w:cs="Calibri"/>
        </w:rPr>
        <w:footnoteReference w:id="19"/>
      </w:r>
      <w:r>
        <w:rPr>
          <w:rFonts w:ascii="Calibri" w:hAnsi="Calibri" w:cs="Calibri"/>
        </w:rPr>
        <w:t xml:space="preserve"> Stories of</w:t>
      </w:r>
      <w:r w:rsidR="002F7C5B">
        <w:rPr>
          <w:rFonts w:ascii="Calibri" w:hAnsi="Calibri" w:cs="Calibri"/>
        </w:rPr>
        <w:t xml:space="preserve"> GAI</w:t>
      </w:r>
      <w:r>
        <w:rPr>
          <w:rFonts w:ascii="Calibri" w:hAnsi="Calibri" w:cs="Calibri"/>
        </w:rPr>
        <w:t xml:space="preserve"> “hallucinations” – false citations returned by GAI – fascinate and abound</w:t>
      </w:r>
      <w:r w:rsidR="002F7C5B">
        <w:rPr>
          <w:rFonts w:ascii="Calibri" w:hAnsi="Calibri" w:cs="Calibri"/>
        </w:rPr>
        <w:t xml:space="preserve">, </w:t>
      </w:r>
      <w:r w:rsidR="00424B5F">
        <w:rPr>
          <w:rFonts w:ascii="Calibri" w:hAnsi="Calibri" w:cs="Calibri"/>
        </w:rPr>
        <w:t xml:space="preserve">with reliance on such hallucinations </w:t>
      </w:r>
      <w:r w:rsidR="00A64222">
        <w:rPr>
          <w:rFonts w:ascii="Calibri" w:hAnsi="Calibri" w:cs="Calibri"/>
        </w:rPr>
        <w:t>having resulted</w:t>
      </w:r>
      <w:r w:rsidR="002F7C5B">
        <w:rPr>
          <w:rFonts w:ascii="Calibri" w:hAnsi="Calibri" w:cs="Calibri"/>
        </w:rPr>
        <w:t xml:space="preserve"> serious sanctions being imposed on </w:t>
      </w:r>
      <w:r w:rsidR="009C1B56">
        <w:rPr>
          <w:rFonts w:ascii="Calibri" w:hAnsi="Calibri" w:cs="Calibri"/>
        </w:rPr>
        <w:t>lawyers</w:t>
      </w:r>
      <w:r w:rsidR="00A64222">
        <w:rPr>
          <w:rFonts w:ascii="Calibri" w:hAnsi="Calibri" w:cs="Calibri"/>
        </w:rPr>
        <w:t xml:space="preserve"> by courts</w:t>
      </w:r>
      <w:r>
        <w:rPr>
          <w:rFonts w:ascii="Calibri" w:hAnsi="Calibri" w:cs="Calibri"/>
        </w:rPr>
        <w:t>.  The duty not to pursue frivolous claims includes a duty to confirm the accuracy of GAI’s output.</w:t>
      </w:r>
    </w:p>
    <w:p w14:paraId="5F82547B" w14:textId="4BB1DE3E" w:rsidR="007E15A9" w:rsidRPr="003517FC" w:rsidRDefault="003517FC" w:rsidP="003517FC">
      <w:pPr>
        <w:pStyle w:val="ListParagraph"/>
        <w:numPr>
          <w:ilvl w:val="0"/>
          <w:numId w:val="1"/>
        </w:numPr>
        <w:rPr>
          <w:rFonts w:ascii="Calibri" w:hAnsi="Calibri" w:cs="Calibri"/>
          <w:b/>
          <w:bCs/>
          <w:u w:val="single"/>
        </w:rPr>
      </w:pPr>
      <w:r w:rsidRPr="003517FC">
        <w:rPr>
          <w:rFonts w:ascii="Calibri" w:hAnsi="Calibri" w:cs="Calibri"/>
          <w:b/>
          <w:bCs/>
          <w:u w:val="single"/>
        </w:rPr>
        <w:t>Complying with Court Orders.</w:t>
      </w:r>
    </w:p>
    <w:p w14:paraId="08494A2D" w14:textId="0E33CC51" w:rsidR="003517FC" w:rsidRDefault="003517FC" w:rsidP="00346265">
      <w:pPr>
        <w:rPr>
          <w:rFonts w:ascii="Calibri" w:hAnsi="Calibri" w:cs="Calibri"/>
        </w:rPr>
      </w:pPr>
      <w:r>
        <w:rPr>
          <w:rFonts w:ascii="Calibri" w:hAnsi="Calibri" w:cs="Calibri"/>
        </w:rPr>
        <w:t>A lawyer is required to comply with court rules.</w:t>
      </w:r>
      <w:r w:rsidR="00816617">
        <w:rPr>
          <w:rStyle w:val="FootnoteReference"/>
          <w:rFonts w:ascii="Calibri" w:hAnsi="Calibri" w:cs="Calibri"/>
        </w:rPr>
        <w:footnoteReference w:id="20"/>
      </w:r>
      <w:r>
        <w:rPr>
          <w:rFonts w:ascii="Calibri" w:hAnsi="Calibri" w:cs="Calibri"/>
        </w:rPr>
        <w:t xml:space="preserve"> </w:t>
      </w:r>
      <w:r w:rsidR="007A7906">
        <w:rPr>
          <w:rFonts w:ascii="Calibri" w:hAnsi="Calibri" w:cs="Calibri"/>
        </w:rPr>
        <w:t xml:space="preserve">We are not </w:t>
      </w:r>
      <w:r>
        <w:rPr>
          <w:rFonts w:ascii="Calibri" w:hAnsi="Calibri" w:cs="Calibri"/>
        </w:rPr>
        <w:t xml:space="preserve">aware of any Vermont court </w:t>
      </w:r>
      <w:r w:rsidR="007A7906">
        <w:rPr>
          <w:rFonts w:ascii="Calibri" w:hAnsi="Calibri" w:cs="Calibri"/>
        </w:rPr>
        <w:t xml:space="preserve">order or </w:t>
      </w:r>
      <w:r w:rsidR="00957916">
        <w:rPr>
          <w:rFonts w:ascii="Calibri" w:hAnsi="Calibri" w:cs="Calibri"/>
        </w:rPr>
        <w:t xml:space="preserve">court </w:t>
      </w:r>
      <w:r w:rsidR="007A7906">
        <w:rPr>
          <w:rFonts w:ascii="Calibri" w:hAnsi="Calibri" w:cs="Calibri"/>
        </w:rPr>
        <w:t xml:space="preserve">rule </w:t>
      </w:r>
      <w:r>
        <w:rPr>
          <w:rFonts w:ascii="Calibri" w:hAnsi="Calibri" w:cs="Calibri"/>
        </w:rPr>
        <w:t xml:space="preserve">that requires a lawyer or litigant to </w:t>
      </w:r>
      <w:r w:rsidR="00623735">
        <w:rPr>
          <w:rFonts w:ascii="Calibri" w:hAnsi="Calibri" w:cs="Calibri"/>
        </w:rPr>
        <w:t>disclose</w:t>
      </w:r>
      <w:r>
        <w:rPr>
          <w:rFonts w:ascii="Calibri" w:hAnsi="Calibri" w:cs="Calibri"/>
        </w:rPr>
        <w:t xml:space="preserve"> having used GAI to produce a filing. However, around the country, there are courts that have adopted such rules</w:t>
      </w:r>
      <w:r w:rsidR="00623735">
        <w:rPr>
          <w:rFonts w:ascii="Calibri" w:hAnsi="Calibri" w:cs="Calibri"/>
        </w:rPr>
        <w:t>.</w:t>
      </w:r>
      <w:r>
        <w:rPr>
          <w:rFonts w:ascii="Calibri" w:hAnsi="Calibri" w:cs="Calibri"/>
        </w:rPr>
        <w:t xml:space="preserve">  A lawyer should be aware of the rules of any tribunal before which the lawyer practices.</w:t>
      </w:r>
      <w:r w:rsidR="00816617">
        <w:rPr>
          <w:rStyle w:val="FootnoteReference"/>
          <w:rFonts w:ascii="Calibri" w:hAnsi="Calibri" w:cs="Calibri"/>
        </w:rPr>
        <w:footnoteReference w:id="21"/>
      </w:r>
    </w:p>
    <w:p w14:paraId="6D8298C0" w14:textId="007CF70E" w:rsidR="00447003" w:rsidRPr="00447003" w:rsidRDefault="00447003" w:rsidP="00447003">
      <w:pPr>
        <w:pStyle w:val="ListParagraph"/>
        <w:numPr>
          <w:ilvl w:val="0"/>
          <w:numId w:val="1"/>
        </w:numPr>
        <w:rPr>
          <w:rFonts w:ascii="Calibri" w:hAnsi="Calibri" w:cs="Calibri"/>
          <w:b/>
          <w:bCs/>
        </w:rPr>
      </w:pPr>
      <w:r>
        <w:rPr>
          <w:rFonts w:ascii="Calibri" w:hAnsi="Calibri" w:cs="Calibri"/>
          <w:b/>
          <w:bCs/>
          <w:u w:val="single"/>
        </w:rPr>
        <w:t>Supervision of Others.</w:t>
      </w:r>
    </w:p>
    <w:p w14:paraId="6EEFCEFF" w14:textId="2BD63FDF" w:rsidR="00447003" w:rsidRDefault="00816617" w:rsidP="00447003">
      <w:pPr>
        <w:rPr>
          <w:rFonts w:ascii="Calibri" w:hAnsi="Calibri" w:cs="Calibri"/>
        </w:rPr>
      </w:pPr>
      <w:r>
        <w:rPr>
          <w:rFonts w:ascii="Calibri" w:hAnsi="Calibri" w:cs="Calibri"/>
        </w:rPr>
        <w:t xml:space="preserve">Two related rules </w:t>
      </w:r>
      <w:r w:rsidR="00447003">
        <w:rPr>
          <w:rFonts w:ascii="Calibri" w:hAnsi="Calibri" w:cs="Calibri"/>
        </w:rPr>
        <w:t xml:space="preserve">set out a lawyer’s duties when supervising lawyers and </w:t>
      </w:r>
      <w:r w:rsidR="00957916">
        <w:rPr>
          <w:rFonts w:ascii="Calibri" w:hAnsi="Calibri" w:cs="Calibri"/>
        </w:rPr>
        <w:t xml:space="preserve">nonlawyer </w:t>
      </w:r>
      <w:r w:rsidR="00447003">
        <w:rPr>
          <w:rFonts w:ascii="Calibri" w:hAnsi="Calibri" w:cs="Calibri"/>
        </w:rPr>
        <w:t>assistan</w:t>
      </w:r>
      <w:r w:rsidR="00957916">
        <w:rPr>
          <w:rFonts w:ascii="Calibri" w:hAnsi="Calibri" w:cs="Calibri"/>
        </w:rPr>
        <w:t>ts</w:t>
      </w:r>
      <w:r w:rsidR="00447003">
        <w:rPr>
          <w:rFonts w:ascii="Calibri" w:hAnsi="Calibri" w:cs="Calibri"/>
        </w:rPr>
        <w:t>.</w:t>
      </w:r>
      <w:r>
        <w:rPr>
          <w:rStyle w:val="FootnoteReference"/>
          <w:rFonts w:ascii="Calibri" w:hAnsi="Calibri" w:cs="Calibri"/>
        </w:rPr>
        <w:footnoteReference w:id="22"/>
      </w:r>
      <w:r w:rsidR="00447003">
        <w:rPr>
          <w:rFonts w:ascii="Calibri" w:hAnsi="Calibri" w:cs="Calibri"/>
        </w:rPr>
        <w:t xml:space="preserve"> The duty to supervise nonlawyers applies not only to nonlawyers employed by the lawyer but to anyone “retained by or associated with a lawyer” to provide legal services to a client.</w:t>
      </w:r>
      <w:r>
        <w:rPr>
          <w:rStyle w:val="FootnoteReference"/>
          <w:rFonts w:ascii="Calibri" w:hAnsi="Calibri" w:cs="Calibri"/>
        </w:rPr>
        <w:footnoteReference w:id="23"/>
      </w:r>
      <w:r>
        <w:rPr>
          <w:rFonts w:ascii="Calibri" w:hAnsi="Calibri" w:cs="Calibri"/>
        </w:rPr>
        <w:t xml:space="preserve"> </w:t>
      </w:r>
      <w:r w:rsidR="00447003">
        <w:rPr>
          <w:rFonts w:ascii="Calibri" w:hAnsi="Calibri" w:cs="Calibri"/>
        </w:rPr>
        <w:t>Generally, the duty to supervise includes taking reasonable steps to ensure that the person who the lawyer is supervising acts in a manner that is consistent with the lawyer’s professional obligations. Satisfying this duty might include adopting an office policy on the use of GAI.</w:t>
      </w:r>
    </w:p>
    <w:p w14:paraId="05C867CD" w14:textId="0FF6FF71" w:rsidR="00516643" w:rsidRDefault="00516643" w:rsidP="00516643">
      <w:pPr>
        <w:pStyle w:val="ListParagraph"/>
        <w:numPr>
          <w:ilvl w:val="0"/>
          <w:numId w:val="1"/>
        </w:numPr>
        <w:rPr>
          <w:rFonts w:ascii="Calibri" w:hAnsi="Calibri" w:cs="Calibri"/>
          <w:b/>
          <w:bCs/>
          <w:u w:val="single"/>
        </w:rPr>
      </w:pPr>
      <w:r w:rsidRPr="00516643">
        <w:rPr>
          <w:rFonts w:ascii="Calibri" w:hAnsi="Calibri" w:cs="Calibri"/>
          <w:b/>
          <w:bCs/>
          <w:u w:val="single"/>
        </w:rPr>
        <w:t>Using GAI at the Direction of a Supervisor.</w:t>
      </w:r>
    </w:p>
    <w:p w14:paraId="7C3C55DA" w14:textId="26A1ABB3" w:rsidR="00516643" w:rsidRPr="00516643" w:rsidRDefault="00516643" w:rsidP="00516643">
      <w:pPr>
        <w:rPr>
          <w:rFonts w:ascii="Calibri" w:hAnsi="Calibri" w:cs="Calibri"/>
          <w:i/>
          <w:iCs/>
        </w:rPr>
      </w:pPr>
      <w:r w:rsidRPr="00516643">
        <w:rPr>
          <w:rFonts w:ascii="Calibri" w:hAnsi="Calibri" w:cs="Calibri"/>
        </w:rPr>
        <w:t>A lawyer who is directed to use GAI by a supervisor remains responsible for complying with the Rules of Professional Conduct.</w:t>
      </w:r>
      <w:r w:rsidR="00816617">
        <w:rPr>
          <w:rStyle w:val="FootnoteReference"/>
          <w:rFonts w:ascii="Calibri" w:hAnsi="Calibri" w:cs="Calibri"/>
        </w:rPr>
        <w:footnoteReference w:id="24"/>
      </w:r>
    </w:p>
    <w:p w14:paraId="2EB4F779" w14:textId="5EC42636" w:rsidR="00447003" w:rsidRDefault="00F2156E" w:rsidP="00F2156E">
      <w:pPr>
        <w:pStyle w:val="ListParagraph"/>
        <w:numPr>
          <w:ilvl w:val="0"/>
          <w:numId w:val="1"/>
        </w:numPr>
        <w:rPr>
          <w:rFonts w:ascii="Calibri" w:hAnsi="Calibri" w:cs="Calibri"/>
          <w:b/>
          <w:bCs/>
        </w:rPr>
      </w:pPr>
      <w:r w:rsidRPr="00F2156E">
        <w:rPr>
          <w:rFonts w:ascii="Calibri" w:hAnsi="Calibri" w:cs="Calibri"/>
          <w:b/>
          <w:bCs/>
          <w:u w:val="single"/>
        </w:rPr>
        <w:t>Pro Bono</w:t>
      </w:r>
      <w:r>
        <w:rPr>
          <w:rFonts w:ascii="Calibri" w:hAnsi="Calibri" w:cs="Calibri"/>
          <w:b/>
          <w:bCs/>
        </w:rPr>
        <w:t>.</w:t>
      </w:r>
    </w:p>
    <w:p w14:paraId="1FE5F94C" w14:textId="2FC2E07A" w:rsidR="00F2156E" w:rsidRDefault="00F2156E" w:rsidP="00F2156E">
      <w:pPr>
        <w:rPr>
          <w:rFonts w:ascii="Calibri" w:hAnsi="Calibri" w:cs="Calibri"/>
        </w:rPr>
      </w:pPr>
      <w:r>
        <w:rPr>
          <w:rFonts w:ascii="Calibri" w:hAnsi="Calibri" w:cs="Calibri"/>
        </w:rPr>
        <w:t>An oft-expressed reason for not doing pro bono work is a concern that the lawyer lacks competence in the particular practice area.  Competence can be acquired.</w:t>
      </w:r>
      <w:r w:rsidR="00816617">
        <w:rPr>
          <w:rStyle w:val="FootnoteReference"/>
          <w:rFonts w:ascii="Calibri" w:hAnsi="Calibri" w:cs="Calibri"/>
        </w:rPr>
        <w:footnoteReference w:id="25"/>
      </w:r>
      <w:r w:rsidR="00816617">
        <w:rPr>
          <w:rFonts w:ascii="Calibri" w:hAnsi="Calibri" w:cs="Calibri"/>
        </w:rPr>
        <w:t xml:space="preserve"> </w:t>
      </w:r>
      <w:r>
        <w:rPr>
          <w:rFonts w:ascii="Calibri" w:hAnsi="Calibri" w:cs="Calibri"/>
        </w:rPr>
        <w:t>GAI might prove valuable in assisting lawyers to achieve competence much more quickly and inexpensively than in the past.</w:t>
      </w:r>
    </w:p>
    <w:p w14:paraId="617E0C87" w14:textId="77777777" w:rsidR="00F65FCD" w:rsidRDefault="00F65FCD" w:rsidP="00F2156E">
      <w:pPr>
        <w:rPr>
          <w:rFonts w:ascii="Calibri" w:hAnsi="Calibri" w:cs="Calibri"/>
        </w:rPr>
      </w:pPr>
    </w:p>
    <w:p w14:paraId="71A7833F" w14:textId="77777777" w:rsidR="00F65FCD" w:rsidRDefault="00F65FCD" w:rsidP="00F2156E">
      <w:pPr>
        <w:rPr>
          <w:rFonts w:ascii="Calibri" w:hAnsi="Calibri" w:cs="Calibri"/>
        </w:rPr>
      </w:pPr>
    </w:p>
    <w:p w14:paraId="3821014A" w14:textId="62EEE5E1" w:rsidR="00717311" w:rsidRPr="000600FE" w:rsidRDefault="00096890" w:rsidP="00717311">
      <w:pPr>
        <w:pStyle w:val="ListParagraph"/>
        <w:numPr>
          <w:ilvl w:val="0"/>
          <w:numId w:val="3"/>
        </w:numPr>
        <w:ind w:left="360"/>
        <w:jc w:val="center"/>
        <w:rPr>
          <w:rFonts w:ascii="Calibri" w:hAnsi="Calibri" w:cs="Calibri"/>
          <w:u w:val="single"/>
        </w:rPr>
      </w:pPr>
      <w:r w:rsidRPr="00096890">
        <w:rPr>
          <w:rFonts w:ascii="Calibri" w:hAnsi="Calibri" w:cs="Calibri"/>
          <w:b/>
          <w:bCs/>
          <w:u w:val="single"/>
        </w:rPr>
        <w:lastRenderedPageBreak/>
        <w:t>GUIDANCE FOR JUDGES</w:t>
      </w:r>
    </w:p>
    <w:p w14:paraId="5A3956E9" w14:textId="12553E60" w:rsidR="00E51069" w:rsidRPr="000600FE" w:rsidRDefault="00E51069" w:rsidP="000600FE">
      <w:pPr>
        <w:rPr>
          <w:rFonts w:ascii="Calibri" w:hAnsi="Calibri" w:cs="Calibri"/>
        </w:rPr>
      </w:pPr>
      <w:r w:rsidRPr="000600FE">
        <w:rPr>
          <w:rFonts w:ascii="Calibri" w:hAnsi="Calibri" w:cs="Calibri"/>
        </w:rPr>
        <w:t>We have no reason to conclude that any Vermont judge has improperly used GAI.  Therefore, the following guidance is provided for no other reason than our mandate from the Commission.</w:t>
      </w:r>
    </w:p>
    <w:p w14:paraId="3CD0A4C6" w14:textId="19496C92" w:rsidR="00717311" w:rsidRPr="000600FE" w:rsidRDefault="007E5AD2" w:rsidP="007E5AD2">
      <w:pPr>
        <w:pStyle w:val="ListParagraph"/>
        <w:numPr>
          <w:ilvl w:val="0"/>
          <w:numId w:val="4"/>
        </w:numPr>
        <w:rPr>
          <w:rFonts w:ascii="Calibri" w:hAnsi="Calibri" w:cs="Calibri"/>
          <w:b/>
          <w:bCs/>
          <w:u w:val="single"/>
        </w:rPr>
      </w:pPr>
      <w:r w:rsidRPr="000600FE">
        <w:rPr>
          <w:rFonts w:ascii="Calibri" w:hAnsi="Calibri" w:cs="Calibri"/>
          <w:b/>
          <w:bCs/>
          <w:u w:val="single"/>
        </w:rPr>
        <w:t>Application.</w:t>
      </w:r>
    </w:p>
    <w:p w14:paraId="23D82DDB" w14:textId="6FD029A2" w:rsidR="007E5AD2" w:rsidRPr="00096890" w:rsidRDefault="007E5AD2" w:rsidP="007E5AD2">
      <w:pPr>
        <w:rPr>
          <w:rFonts w:ascii="Calibri" w:hAnsi="Calibri" w:cs="Calibri"/>
        </w:rPr>
      </w:pPr>
      <w:r w:rsidRPr="000600FE">
        <w:rPr>
          <w:rFonts w:ascii="Calibri" w:hAnsi="Calibri" w:cs="Calibri"/>
        </w:rPr>
        <w:t xml:space="preserve">The </w:t>
      </w:r>
      <w:r w:rsidR="00761E64">
        <w:rPr>
          <w:rFonts w:ascii="Calibri" w:hAnsi="Calibri" w:cs="Calibri"/>
        </w:rPr>
        <w:t>VCJC</w:t>
      </w:r>
      <w:r w:rsidRPr="000600FE">
        <w:rPr>
          <w:rFonts w:ascii="Calibri" w:hAnsi="Calibri" w:cs="Calibri"/>
        </w:rPr>
        <w:t xml:space="preserve"> includes an “Application” section.</w:t>
      </w:r>
      <w:r w:rsidRPr="00096890">
        <w:rPr>
          <w:rFonts w:ascii="Calibri" w:hAnsi="Calibri" w:cs="Calibri"/>
        </w:rPr>
        <w:t xml:space="preserve">  We intend this guidance to apply in the same manner as does the </w:t>
      </w:r>
      <w:r w:rsidR="00761E64">
        <w:rPr>
          <w:rFonts w:ascii="Calibri" w:hAnsi="Calibri" w:cs="Calibri"/>
        </w:rPr>
        <w:t>VCJC.</w:t>
      </w:r>
    </w:p>
    <w:p w14:paraId="3B266C0A" w14:textId="05147CB3" w:rsidR="007E5AD2" w:rsidRPr="00096890" w:rsidRDefault="00E7336F" w:rsidP="007E5AD2">
      <w:pPr>
        <w:pStyle w:val="ListParagraph"/>
        <w:numPr>
          <w:ilvl w:val="0"/>
          <w:numId w:val="4"/>
        </w:numPr>
        <w:rPr>
          <w:rFonts w:ascii="Calibri" w:hAnsi="Calibri" w:cs="Calibri"/>
          <w:b/>
          <w:bCs/>
          <w:u w:val="single"/>
        </w:rPr>
      </w:pPr>
      <w:r w:rsidRPr="000600FE">
        <w:rPr>
          <w:rFonts w:ascii="Calibri" w:hAnsi="Calibri" w:cs="Calibri"/>
          <w:b/>
          <w:bCs/>
          <w:u w:val="single"/>
        </w:rPr>
        <w:t>Appearance of Impropriety</w:t>
      </w:r>
      <w:r w:rsidR="0065670F" w:rsidRPr="00096890">
        <w:rPr>
          <w:rFonts w:ascii="Calibri" w:hAnsi="Calibri" w:cs="Calibri"/>
          <w:b/>
          <w:bCs/>
          <w:u w:val="single"/>
        </w:rPr>
        <w:t>.</w:t>
      </w:r>
    </w:p>
    <w:p w14:paraId="45D62514" w14:textId="4D89900E" w:rsidR="0065670F" w:rsidRPr="000600FE" w:rsidRDefault="004C0F9B" w:rsidP="00E7336F">
      <w:pPr>
        <w:rPr>
          <w:rFonts w:ascii="Calibri" w:hAnsi="Calibri" w:cs="Calibri"/>
        </w:rPr>
      </w:pPr>
      <w:r w:rsidRPr="00096890">
        <w:rPr>
          <w:rFonts w:ascii="Calibri" w:hAnsi="Calibri" w:cs="Calibri"/>
        </w:rPr>
        <w:t>A Vermont judge must</w:t>
      </w:r>
      <w:r w:rsidR="00E7336F" w:rsidRPr="000600FE">
        <w:rPr>
          <w:rFonts w:ascii="Calibri" w:hAnsi="Calibri" w:cs="Calibri"/>
        </w:rPr>
        <w:t xml:space="preserve"> </w:t>
      </w:r>
      <w:r w:rsidRPr="000600FE">
        <w:rPr>
          <w:rFonts w:ascii="Calibri" w:hAnsi="Calibri" w:cs="Calibri"/>
        </w:rPr>
        <w:t>“</w:t>
      </w:r>
      <w:r w:rsidR="00E7336F" w:rsidRPr="000600FE">
        <w:rPr>
          <w:rFonts w:ascii="Calibri" w:hAnsi="Calibri" w:cs="Calibri"/>
        </w:rPr>
        <w:t>act at all times in a manner that promotes public confidence in the independence, integrity, and impartiality of the judiciary, and shall avoid impropriety and the appearance of impropriety.”</w:t>
      </w:r>
      <w:r w:rsidR="00E7336F" w:rsidRPr="000600FE">
        <w:rPr>
          <w:rStyle w:val="FootnoteReference"/>
          <w:rFonts w:ascii="Calibri" w:hAnsi="Calibri" w:cs="Calibri"/>
        </w:rPr>
        <w:footnoteReference w:id="26"/>
      </w:r>
      <w:r w:rsidR="00E7336F" w:rsidRPr="000600FE">
        <w:rPr>
          <w:rFonts w:ascii="Calibri" w:hAnsi="Calibri" w:cs="Calibri"/>
        </w:rPr>
        <w:t xml:space="preserve"> </w:t>
      </w:r>
      <w:r w:rsidR="00FC0090" w:rsidRPr="000600FE">
        <w:rPr>
          <w:rFonts w:ascii="Calibri" w:hAnsi="Calibri" w:cs="Calibri"/>
        </w:rPr>
        <w:t>This requirement exists because “[c]</w:t>
      </w:r>
      <w:proofErr w:type="spellStart"/>
      <w:r w:rsidR="00FC0090" w:rsidRPr="000600FE">
        <w:rPr>
          <w:rFonts w:ascii="Calibri" w:hAnsi="Calibri" w:cs="Calibri"/>
        </w:rPr>
        <w:t>onduct</w:t>
      </w:r>
      <w:proofErr w:type="spellEnd"/>
      <w:r w:rsidR="00FC0090" w:rsidRPr="000600FE">
        <w:rPr>
          <w:rFonts w:ascii="Calibri" w:hAnsi="Calibri" w:cs="Calibri"/>
        </w:rPr>
        <w:t xml:space="preserve"> that compromises or appears to compromise the independence, integrity, and impartiality of a judge undermines public confidence in the judiciary.”</w:t>
      </w:r>
      <w:r w:rsidR="00FC0090" w:rsidRPr="000600FE">
        <w:rPr>
          <w:rStyle w:val="FootnoteReference"/>
          <w:rFonts w:ascii="Calibri" w:hAnsi="Calibri" w:cs="Calibri"/>
        </w:rPr>
        <w:footnoteReference w:id="27"/>
      </w:r>
      <w:r w:rsidR="00FC0090" w:rsidRPr="000600FE">
        <w:rPr>
          <w:rFonts w:ascii="Calibri" w:hAnsi="Calibri" w:cs="Calibri"/>
        </w:rPr>
        <w:t xml:space="preserve"> However, “because it is not practicable to list all such conduct, the Rule is necessarily cast in general terms.”</w:t>
      </w:r>
      <w:r w:rsidR="00FC0090" w:rsidRPr="000600FE">
        <w:rPr>
          <w:rStyle w:val="FootnoteReference"/>
          <w:rFonts w:ascii="Calibri" w:hAnsi="Calibri" w:cs="Calibri"/>
        </w:rPr>
        <w:footnoteReference w:id="28"/>
      </w:r>
    </w:p>
    <w:p w14:paraId="63650D57" w14:textId="696D429D" w:rsidR="00E51069" w:rsidRPr="000600FE" w:rsidRDefault="00E51069" w:rsidP="00E7336F">
      <w:pPr>
        <w:rPr>
          <w:rFonts w:ascii="Calibri" w:hAnsi="Calibri" w:cs="Calibri"/>
        </w:rPr>
      </w:pPr>
      <w:r w:rsidRPr="000600FE">
        <w:rPr>
          <w:rFonts w:ascii="Calibri" w:hAnsi="Calibri" w:cs="Calibri"/>
        </w:rPr>
        <w:t>Consistent with Comment [3] to Rule 1.2, we do not endeavor to list each instance in which the use of GAI might implicate a judge’s professional obligations. Rather, we limit our guidance to noting that, as with any tool at their disposal, a judge’s improper use of GAI might undermine public confidence in the judiciary. In particular, see Section IV below.</w:t>
      </w:r>
    </w:p>
    <w:p w14:paraId="0C1194FB" w14:textId="12C591C6" w:rsidR="00E51069" w:rsidRPr="000600FE" w:rsidRDefault="00E51069" w:rsidP="000600FE">
      <w:pPr>
        <w:pStyle w:val="ListParagraph"/>
        <w:numPr>
          <w:ilvl w:val="0"/>
          <w:numId w:val="4"/>
        </w:numPr>
        <w:rPr>
          <w:rFonts w:ascii="Calibri" w:hAnsi="Calibri" w:cs="Calibri"/>
          <w:b/>
          <w:bCs/>
        </w:rPr>
      </w:pPr>
      <w:r w:rsidRPr="000600FE">
        <w:rPr>
          <w:rFonts w:ascii="Calibri" w:hAnsi="Calibri" w:cs="Calibri"/>
          <w:b/>
          <w:bCs/>
          <w:u w:val="single"/>
        </w:rPr>
        <w:t>Competence and Diligence</w:t>
      </w:r>
      <w:r w:rsidRPr="000600FE">
        <w:rPr>
          <w:rFonts w:ascii="Calibri" w:hAnsi="Calibri" w:cs="Calibri"/>
          <w:b/>
          <w:bCs/>
        </w:rPr>
        <w:t>.</w:t>
      </w:r>
    </w:p>
    <w:p w14:paraId="03130666" w14:textId="0D1A11F6" w:rsidR="00E51069" w:rsidRPr="000600FE" w:rsidRDefault="00E7336F" w:rsidP="00E7336F">
      <w:pPr>
        <w:rPr>
          <w:rFonts w:ascii="Calibri" w:hAnsi="Calibri" w:cs="Calibri"/>
        </w:rPr>
      </w:pPr>
      <w:r w:rsidRPr="000600FE">
        <w:rPr>
          <w:rFonts w:ascii="Calibri" w:hAnsi="Calibri" w:cs="Calibri"/>
        </w:rPr>
        <w:t xml:space="preserve"> </w:t>
      </w:r>
      <w:r w:rsidR="00E51069" w:rsidRPr="000600FE">
        <w:rPr>
          <w:rFonts w:ascii="Calibri" w:hAnsi="Calibri" w:cs="Calibri"/>
        </w:rPr>
        <w:t>A judge must “</w:t>
      </w:r>
      <w:r w:rsidR="004C0F9B" w:rsidRPr="000600FE">
        <w:rPr>
          <w:rFonts w:ascii="Calibri" w:hAnsi="Calibri" w:cs="Calibri"/>
        </w:rPr>
        <w:t>perform judicial and administrative duties, competently and diligently.”</w:t>
      </w:r>
      <w:r w:rsidR="004C0F9B" w:rsidRPr="000600FE">
        <w:rPr>
          <w:rStyle w:val="FootnoteReference"/>
          <w:rFonts w:ascii="Calibri" w:hAnsi="Calibri" w:cs="Calibri"/>
        </w:rPr>
        <w:footnoteReference w:id="29"/>
      </w:r>
      <w:r w:rsidR="004C0F9B" w:rsidRPr="000600FE">
        <w:rPr>
          <w:rFonts w:ascii="Calibri" w:hAnsi="Calibri" w:cs="Calibri"/>
        </w:rPr>
        <w:t xml:space="preserve"> </w:t>
      </w:r>
      <w:r w:rsidR="00E31AC1" w:rsidRPr="000600FE">
        <w:rPr>
          <w:rFonts w:ascii="Calibri" w:hAnsi="Calibri" w:cs="Calibri"/>
        </w:rPr>
        <w:t xml:space="preserve"> As should a lawyer, a judge should understand the risks and benefits of using GAI when carrying out their professional responsibilities.</w:t>
      </w:r>
    </w:p>
    <w:p w14:paraId="610B75EE" w14:textId="77777777" w:rsidR="00E51069" w:rsidRPr="000600FE" w:rsidRDefault="00E51069" w:rsidP="00E51069">
      <w:pPr>
        <w:pStyle w:val="ListParagraph"/>
        <w:numPr>
          <w:ilvl w:val="0"/>
          <w:numId w:val="4"/>
        </w:numPr>
        <w:rPr>
          <w:rFonts w:ascii="Calibri" w:hAnsi="Calibri" w:cs="Calibri"/>
        </w:rPr>
      </w:pPr>
      <w:r w:rsidRPr="000600FE">
        <w:rPr>
          <w:rFonts w:ascii="Calibri" w:hAnsi="Calibri" w:cs="Calibri"/>
          <w:b/>
          <w:bCs/>
          <w:u w:val="single"/>
        </w:rPr>
        <w:t>Responsibility to Decide.</w:t>
      </w:r>
    </w:p>
    <w:p w14:paraId="0EEA8D6C" w14:textId="410121C1" w:rsidR="00E7336F" w:rsidRPr="00096890" w:rsidRDefault="00E31AC1" w:rsidP="00E51069">
      <w:pPr>
        <w:rPr>
          <w:rFonts w:ascii="Calibri" w:hAnsi="Calibri" w:cs="Calibri"/>
          <w:color w:val="000000"/>
        </w:rPr>
      </w:pPr>
      <w:r w:rsidRPr="000600FE">
        <w:rPr>
          <w:rFonts w:ascii="Calibri" w:hAnsi="Calibri" w:cs="Calibri"/>
        </w:rPr>
        <w:t>U</w:t>
      </w:r>
      <w:r w:rsidR="004C0F9B" w:rsidRPr="000600FE">
        <w:rPr>
          <w:rFonts w:ascii="Calibri" w:hAnsi="Calibri" w:cs="Calibri"/>
        </w:rPr>
        <w:t>nless disqualified, “[a] judge shall hear and decide matters assigned to the judge.”</w:t>
      </w:r>
      <w:r w:rsidR="004C0F9B" w:rsidRPr="000600FE">
        <w:rPr>
          <w:rStyle w:val="FootnoteReference"/>
          <w:rFonts w:ascii="Calibri" w:hAnsi="Calibri" w:cs="Calibri"/>
        </w:rPr>
        <w:footnoteReference w:id="30"/>
      </w:r>
      <w:r w:rsidR="00FD23A3" w:rsidRPr="000600FE">
        <w:rPr>
          <w:rFonts w:ascii="Calibri" w:hAnsi="Calibri" w:cs="Calibri"/>
        </w:rPr>
        <w:t xml:space="preserve"> A </w:t>
      </w:r>
      <w:r w:rsidR="00FD23A3" w:rsidRPr="000600FE">
        <w:rPr>
          <w:rFonts w:ascii="Calibri" w:hAnsi="Calibri" w:cs="Calibri"/>
          <w:color w:val="000000"/>
        </w:rPr>
        <w:t>judge should not supplant their own analysis for one generated by GAI.</w:t>
      </w:r>
    </w:p>
    <w:p w14:paraId="085B6107" w14:textId="6D58206D" w:rsidR="00FD23A3" w:rsidRPr="000600FE" w:rsidRDefault="00FD23A3" w:rsidP="00FD23A3">
      <w:pPr>
        <w:pStyle w:val="ListParagraph"/>
        <w:numPr>
          <w:ilvl w:val="0"/>
          <w:numId w:val="4"/>
        </w:numPr>
        <w:rPr>
          <w:rFonts w:ascii="Calibri" w:hAnsi="Calibri" w:cs="Calibri"/>
          <w:b/>
          <w:bCs/>
          <w:u w:val="single"/>
        </w:rPr>
      </w:pPr>
      <w:r w:rsidRPr="000600FE">
        <w:rPr>
          <w:rFonts w:ascii="Calibri" w:hAnsi="Calibri" w:cs="Calibri"/>
          <w:b/>
          <w:bCs/>
          <w:u w:val="single"/>
        </w:rPr>
        <w:t>Supervision of Others.</w:t>
      </w:r>
    </w:p>
    <w:p w14:paraId="19530995" w14:textId="3CD52EB5" w:rsidR="008B27E7" w:rsidRDefault="00FD23A3" w:rsidP="008B27E7">
      <w:pPr>
        <w:rPr>
          <w:rFonts w:ascii="Calibri" w:hAnsi="Calibri" w:cs="Calibri"/>
        </w:rPr>
      </w:pPr>
      <w:r w:rsidRPr="000600FE">
        <w:rPr>
          <w:rFonts w:ascii="Calibri" w:hAnsi="Calibri" w:cs="Calibri"/>
        </w:rPr>
        <w:t xml:space="preserve">The </w:t>
      </w:r>
      <w:r w:rsidR="00761E64">
        <w:rPr>
          <w:rFonts w:ascii="Calibri" w:hAnsi="Calibri" w:cs="Calibri"/>
        </w:rPr>
        <w:t>VCJC</w:t>
      </w:r>
      <w:r w:rsidRPr="000600FE">
        <w:rPr>
          <w:rFonts w:ascii="Calibri" w:hAnsi="Calibri" w:cs="Calibri"/>
        </w:rPr>
        <w:t xml:space="preserve"> sets out a judge’s supervisory duties, whether supervising persons “subject to the judge’s discretion and control” or “other judges.”</w:t>
      </w:r>
      <w:r w:rsidRPr="000600FE">
        <w:rPr>
          <w:rStyle w:val="FootnoteReference"/>
          <w:rFonts w:ascii="Calibri" w:hAnsi="Calibri" w:cs="Calibri"/>
        </w:rPr>
        <w:footnoteReference w:id="31"/>
      </w:r>
      <w:r w:rsidRPr="000600FE">
        <w:rPr>
          <w:rFonts w:ascii="Calibri" w:hAnsi="Calibri" w:cs="Calibri"/>
        </w:rPr>
        <w:t xml:space="preserve"> Judges are reminded of their obligation to ensure that persons </w:t>
      </w:r>
      <w:r w:rsidR="00761E64">
        <w:rPr>
          <w:rFonts w:ascii="Calibri" w:hAnsi="Calibri" w:cs="Calibri"/>
        </w:rPr>
        <w:t>under their supervision</w:t>
      </w:r>
      <w:r w:rsidRPr="000600FE">
        <w:rPr>
          <w:rFonts w:ascii="Calibri" w:hAnsi="Calibri" w:cs="Calibri"/>
        </w:rPr>
        <w:t xml:space="preserve"> who use GAI in the performance of their duties do so in a manner that is consistent with the judge’s obligations.</w:t>
      </w:r>
    </w:p>
    <w:p w14:paraId="6C626A4A" w14:textId="77777777" w:rsidR="00F65FCD" w:rsidRDefault="00F65FCD" w:rsidP="008B27E7">
      <w:pPr>
        <w:rPr>
          <w:rFonts w:ascii="Calibri" w:hAnsi="Calibri" w:cs="Calibri"/>
        </w:rPr>
      </w:pPr>
    </w:p>
    <w:p w14:paraId="3F486FEC" w14:textId="2D281DA1" w:rsidR="008B27E7" w:rsidRDefault="008B27E7" w:rsidP="008B27E7">
      <w:pPr>
        <w:rPr>
          <w:rFonts w:ascii="Calibri" w:hAnsi="Calibri" w:cs="Calibri"/>
          <w:b/>
          <w:bCs/>
          <w:u w:val="single"/>
        </w:rPr>
      </w:pPr>
      <w:r>
        <w:rPr>
          <w:rFonts w:ascii="Calibri" w:hAnsi="Calibri" w:cs="Calibri"/>
          <w:b/>
          <w:bCs/>
          <w:u w:val="single"/>
        </w:rPr>
        <w:lastRenderedPageBreak/>
        <w:t>Conclusion.</w:t>
      </w:r>
    </w:p>
    <w:p w14:paraId="4C00EBDF" w14:textId="6E4DCB40" w:rsidR="008B27E7" w:rsidRPr="000600FE" w:rsidRDefault="008B27E7" w:rsidP="008B27E7">
      <w:pPr>
        <w:rPr>
          <w:rFonts w:ascii="Calibri" w:hAnsi="Calibri" w:cs="Calibri"/>
        </w:rPr>
      </w:pPr>
      <w:r>
        <w:rPr>
          <w:rFonts w:ascii="Calibri" w:hAnsi="Calibri" w:cs="Calibri"/>
        </w:rPr>
        <w:t>The Vermont legal profession’s use of GAI does not require the Supreme Court to amend the Vermont Rules of Professional Conduct or the Vermont Code of Judicial Conduct. Lawyers, judges, and legal professionals are remin</w:t>
      </w:r>
      <w:r w:rsidR="0013487A">
        <w:rPr>
          <w:rFonts w:ascii="Calibri" w:hAnsi="Calibri" w:cs="Calibri"/>
        </w:rPr>
        <w:t>d</w:t>
      </w:r>
      <w:r>
        <w:rPr>
          <w:rFonts w:ascii="Calibri" w:hAnsi="Calibri" w:cs="Calibri"/>
        </w:rPr>
        <w:t>ed to use GAI in a manner that comports with their professional obligations.</w:t>
      </w:r>
    </w:p>
    <w:p w14:paraId="2385FD85" w14:textId="7698220C" w:rsidR="007E5AD2" w:rsidRPr="007E5AD2" w:rsidRDefault="007E5AD2" w:rsidP="000600FE"/>
    <w:p w14:paraId="7E28931E" w14:textId="77777777" w:rsidR="00717311" w:rsidRPr="000600FE" w:rsidRDefault="00717311" w:rsidP="000600FE">
      <w:pPr>
        <w:pStyle w:val="ListParagraph"/>
        <w:ind w:left="360"/>
        <w:rPr>
          <w:b/>
          <w:bCs/>
        </w:rPr>
      </w:pPr>
    </w:p>
    <w:p w14:paraId="568DCE4B" w14:textId="77777777" w:rsidR="00346265" w:rsidRPr="003B7240" w:rsidRDefault="00346265" w:rsidP="003B7240">
      <w:pPr>
        <w:rPr>
          <w:rFonts w:ascii="Calibri" w:hAnsi="Calibri" w:cs="Calibri"/>
        </w:rPr>
      </w:pPr>
    </w:p>
    <w:p w14:paraId="031AAC3A" w14:textId="77777777" w:rsidR="00C445E9" w:rsidRDefault="00C445E9" w:rsidP="00C445E9">
      <w:pPr>
        <w:jc w:val="center"/>
        <w:rPr>
          <w:b/>
          <w:bCs/>
        </w:rPr>
      </w:pPr>
    </w:p>
    <w:p w14:paraId="2BED8FE6" w14:textId="77777777" w:rsidR="00C445E9" w:rsidRDefault="00C445E9" w:rsidP="00C445E9">
      <w:pPr>
        <w:jc w:val="center"/>
        <w:rPr>
          <w:b/>
          <w:bCs/>
        </w:rPr>
      </w:pPr>
    </w:p>
    <w:p w14:paraId="2A4521BE" w14:textId="77777777" w:rsidR="00C445E9" w:rsidRDefault="00C445E9" w:rsidP="00C445E9">
      <w:pPr>
        <w:jc w:val="center"/>
        <w:rPr>
          <w:b/>
          <w:bCs/>
        </w:rPr>
      </w:pPr>
    </w:p>
    <w:p w14:paraId="31B2E401" w14:textId="77777777" w:rsidR="00C445E9" w:rsidRPr="00C445E9" w:rsidRDefault="00C445E9">
      <w:pPr>
        <w:rPr>
          <w:b/>
          <w:bCs/>
        </w:rPr>
      </w:pPr>
    </w:p>
    <w:sectPr w:rsidR="00C445E9" w:rsidRPr="00C445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000D" w14:textId="77777777" w:rsidR="00EC541B" w:rsidRDefault="00EC541B" w:rsidP="00B31FE6">
      <w:pPr>
        <w:spacing w:after="0" w:line="240" w:lineRule="auto"/>
      </w:pPr>
      <w:r>
        <w:separator/>
      </w:r>
    </w:p>
  </w:endnote>
  <w:endnote w:type="continuationSeparator" w:id="0">
    <w:p w14:paraId="2A7F7ACD" w14:textId="77777777" w:rsidR="00EC541B" w:rsidRDefault="00EC541B" w:rsidP="00B3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959C" w14:textId="77777777" w:rsidR="00EC541B" w:rsidRDefault="00EC541B" w:rsidP="00B31FE6">
      <w:pPr>
        <w:spacing w:after="0" w:line="240" w:lineRule="auto"/>
      </w:pPr>
      <w:r>
        <w:separator/>
      </w:r>
    </w:p>
  </w:footnote>
  <w:footnote w:type="continuationSeparator" w:id="0">
    <w:p w14:paraId="7E5201CC" w14:textId="77777777" w:rsidR="00EC541B" w:rsidRDefault="00EC541B" w:rsidP="00B31FE6">
      <w:pPr>
        <w:spacing w:after="0" w:line="240" w:lineRule="auto"/>
      </w:pPr>
      <w:r>
        <w:continuationSeparator/>
      </w:r>
    </w:p>
  </w:footnote>
  <w:footnote w:id="1">
    <w:p w14:paraId="38A61722" w14:textId="3D7F5151" w:rsidR="00AA2633" w:rsidRDefault="00AA2633">
      <w:pPr>
        <w:pStyle w:val="FootnoteText"/>
      </w:pPr>
      <w:r>
        <w:rPr>
          <w:rStyle w:val="FootnoteReference"/>
        </w:rPr>
        <w:footnoteRef/>
      </w:r>
      <w:r>
        <w:t xml:space="preserve"> See, Appendix A.</w:t>
      </w:r>
    </w:p>
  </w:footnote>
  <w:footnote w:id="2">
    <w:p w14:paraId="24A30DDB" w14:textId="7431EDA7" w:rsidR="00B31FE6" w:rsidRDefault="00B31FE6" w:rsidP="00C57BA8">
      <w:r>
        <w:rPr>
          <w:rStyle w:val="FootnoteReference"/>
        </w:rPr>
        <w:footnoteRef/>
      </w:r>
      <w:r>
        <w:t xml:space="preserve"> </w:t>
      </w:r>
      <w:r w:rsidRPr="00B31FE6">
        <w:rPr>
          <w:rFonts w:ascii="Calibri" w:hAnsi="Calibri" w:cs="Calibri"/>
        </w:rPr>
        <w:t>We agree with the Virginia State Bar’s statement that “</w:t>
      </w:r>
      <w:r w:rsidRPr="00B31FE6">
        <w:rPr>
          <w:rFonts w:ascii="Calibri" w:hAnsi="Calibri" w:cs="Calibri"/>
          <w:color w:val="000000"/>
          <w:shd w:val="clear" w:color="auto" w:fill="FFFFFF"/>
        </w:rPr>
        <w:t xml:space="preserve">a lawyer’s basic ethical responsibilities have not changed, and many ethics issues involving </w:t>
      </w:r>
      <w:r w:rsidR="00A93A0A">
        <w:rPr>
          <w:rFonts w:ascii="Calibri" w:hAnsi="Calibri" w:cs="Calibri"/>
          <w:color w:val="000000"/>
          <w:shd w:val="clear" w:color="auto" w:fill="FFFFFF"/>
        </w:rPr>
        <w:t>GAI</w:t>
      </w:r>
      <w:r w:rsidRPr="00B31FE6">
        <w:rPr>
          <w:rFonts w:ascii="Calibri" w:hAnsi="Calibri" w:cs="Calibri"/>
          <w:color w:val="000000"/>
          <w:shd w:val="clear" w:color="auto" w:fill="FFFFFF"/>
        </w:rPr>
        <w:t xml:space="preserve"> are fundamentally similar to issues lawyers face when working with other technology or other people (both lawyers and nonlawyers).”</w:t>
      </w:r>
      <w:r w:rsidRPr="00DD48DC">
        <w:rPr>
          <w:rFonts w:ascii="Calibri" w:hAnsi="Calibri" w:cs="Calibri"/>
          <w:color w:val="000000"/>
          <w:shd w:val="clear" w:color="auto" w:fill="FFFFFF"/>
        </w:rPr>
        <w:t xml:space="preserve">  </w:t>
      </w:r>
    </w:p>
  </w:footnote>
  <w:footnote w:id="3">
    <w:p w14:paraId="695971AD" w14:textId="21BD36D0" w:rsidR="00C57BA8" w:rsidRDefault="00C57BA8">
      <w:pPr>
        <w:pStyle w:val="FootnoteText"/>
      </w:pPr>
      <w:r>
        <w:rPr>
          <w:rStyle w:val="FootnoteReference"/>
        </w:rPr>
        <w:footnoteRef/>
      </w:r>
      <w:r>
        <w:t xml:space="preserve"> </w:t>
      </w:r>
      <w:hyperlink r:id="rId1" w:history="1">
        <w:proofErr w:type="spellStart"/>
        <w:r w:rsidRPr="00C57BA8">
          <w:rPr>
            <w:rStyle w:val="Hyperlink"/>
          </w:rPr>
          <w:t>V.R.Pr.C</w:t>
        </w:r>
        <w:proofErr w:type="spellEnd"/>
        <w:r w:rsidRPr="00C57BA8">
          <w:rPr>
            <w:rStyle w:val="Hyperlink"/>
          </w:rPr>
          <w:t>. 1.1</w:t>
        </w:r>
      </w:hyperlink>
    </w:p>
  </w:footnote>
  <w:footnote w:id="4">
    <w:p w14:paraId="583CEAFD" w14:textId="72EC8A00" w:rsidR="00C57BA8" w:rsidRDefault="00C57BA8">
      <w:pPr>
        <w:pStyle w:val="FootnoteText"/>
      </w:pPr>
      <w:r>
        <w:rPr>
          <w:rStyle w:val="FootnoteReference"/>
        </w:rPr>
        <w:footnoteRef/>
      </w:r>
      <w:r>
        <w:t xml:space="preserve"> </w:t>
      </w:r>
      <w:hyperlink r:id="rId2" w:history="1">
        <w:proofErr w:type="spellStart"/>
        <w:r w:rsidRPr="00C57BA8">
          <w:rPr>
            <w:rStyle w:val="Hyperlink"/>
          </w:rPr>
          <w:t>V.R.Pr.C</w:t>
        </w:r>
        <w:proofErr w:type="spellEnd"/>
        <w:r w:rsidRPr="00C57BA8">
          <w:rPr>
            <w:rStyle w:val="Hyperlink"/>
          </w:rPr>
          <w:t xml:space="preserve">. 1.1, </w:t>
        </w:r>
        <w:proofErr w:type="spellStart"/>
        <w:r w:rsidRPr="00C57BA8">
          <w:rPr>
            <w:rStyle w:val="Hyperlink"/>
          </w:rPr>
          <w:t>Cmt</w:t>
        </w:r>
        <w:proofErr w:type="spellEnd"/>
        <w:r w:rsidRPr="00C57BA8">
          <w:rPr>
            <w:rStyle w:val="Hyperlink"/>
          </w:rPr>
          <w:t>. [8]</w:t>
        </w:r>
      </w:hyperlink>
    </w:p>
  </w:footnote>
  <w:footnote w:id="5">
    <w:p w14:paraId="008D1B00" w14:textId="46D75DD4" w:rsidR="00852DCB" w:rsidRDefault="00852DCB">
      <w:pPr>
        <w:pStyle w:val="FootnoteText"/>
      </w:pPr>
      <w:r>
        <w:rPr>
          <w:rStyle w:val="FootnoteReference"/>
        </w:rPr>
        <w:footnoteRef/>
      </w:r>
      <w:r>
        <w:t xml:space="preserve"> </w:t>
      </w:r>
      <w:r w:rsidRPr="00DD48DC">
        <w:rPr>
          <w:rFonts w:ascii="Calibri" w:hAnsi="Calibri" w:cs="Calibri"/>
        </w:rPr>
        <w:t xml:space="preserve">By </w:t>
      </w:r>
      <w:r>
        <w:rPr>
          <w:rFonts w:ascii="Calibri" w:hAnsi="Calibri" w:cs="Calibri"/>
        </w:rPr>
        <w:t>highlighting</w:t>
      </w:r>
      <w:r w:rsidRPr="00DD48DC">
        <w:rPr>
          <w:rFonts w:ascii="Calibri" w:hAnsi="Calibri" w:cs="Calibri"/>
        </w:rPr>
        <w:t xml:space="preserve"> specific obligations, </w:t>
      </w:r>
      <w:r>
        <w:rPr>
          <w:rFonts w:ascii="Calibri" w:hAnsi="Calibri" w:cs="Calibri"/>
        </w:rPr>
        <w:t xml:space="preserve">we do not suggest </w:t>
      </w:r>
      <w:r w:rsidRPr="00DD48DC">
        <w:rPr>
          <w:rFonts w:ascii="Calibri" w:hAnsi="Calibri" w:cs="Calibri"/>
        </w:rPr>
        <w:t xml:space="preserve">that others </w:t>
      </w:r>
      <w:r w:rsidR="00EA60C2">
        <w:rPr>
          <w:rFonts w:ascii="Calibri" w:hAnsi="Calibri" w:cs="Calibri"/>
        </w:rPr>
        <w:t>are not affected by a lawyer or judge’s use of</w:t>
      </w:r>
      <w:r w:rsidRPr="00DD48DC">
        <w:rPr>
          <w:rFonts w:ascii="Calibri" w:hAnsi="Calibri" w:cs="Calibri"/>
        </w:rPr>
        <w:t xml:space="preserve"> GAI.</w:t>
      </w:r>
    </w:p>
  </w:footnote>
  <w:footnote w:id="6">
    <w:p w14:paraId="2C694810" w14:textId="1C49EA57" w:rsidR="00C57BA8" w:rsidRDefault="00C57BA8">
      <w:pPr>
        <w:pStyle w:val="FootnoteText"/>
      </w:pPr>
      <w:r>
        <w:rPr>
          <w:rStyle w:val="FootnoteReference"/>
        </w:rPr>
        <w:footnoteRef/>
      </w:r>
      <w:r>
        <w:t xml:space="preserve"> </w:t>
      </w:r>
      <w:hyperlink r:id="rId3" w:history="1">
        <w:proofErr w:type="spellStart"/>
        <w:r w:rsidRPr="00C57BA8">
          <w:rPr>
            <w:rStyle w:val="Hyperlink"/>
          </w:rPr>
          <w:t>V.R.Pr.C</w:t>
        </w:r>
        <w:proofErr w:type="spellEnd"/>
        <w:r w:rsidRPr="00C57BA8">
          <w:rPr>
            <w:rStyle w:val="Hyperlink"/>
          </w:rPr>
          <w:t>. 1.4(b)</w:t>
        </w:r>
      </w:hyperlink>
    </w:p>
  </w:footnote>
  <w:footnote w:id="7">
    <w:p w14:paraId="3AAA56ED" w14:textId="691B80DF" w:rsidR="00C57BA8" w:rsidRDefault="00C57BA8">
      <w:pPr>
        <w:pStyle w:val="FootnoteText"/>
      </w:pPr>
      <w:r>
        <w:rPr>
          <w:rStyle w:val="FootnoteReference"/>
        </w:rPr>
        <w:footnoteRef/>
      </w:r>
      <w:r>
        <w:t xml:space="preserve"> </w:t>
      </w:r>
      <w:hyperlink r:id="rId4" w:history="1">
        <w:proofErr w:type="spellStart"/>
        <w:r w:rsidRPr="00C57BA8">
          <w:rPr>
            <w:rStyle w:val="Hyperlink"/>
          </w:rPr>
          <w:t>V.R.Pr.C</w:t>
        </w:r>
        <w:proofErr w:type="spellEnd"/>
        <w:r w:rsidRPr="00C57BA8">
          <w:rPr>
            <w:rStyle w:val="Hyperlink"/>
          </w:rPr>
          <w:t>. 1.4(a)(1)</w:t>
        </w:r>
      </w:hyperlink>
    </w:p>
  </w:footnote>
  <w:footnote w:id="8">
    <w:p w14:paraId="629DF3C2" w14:textId="7492004F" w:rsidR="00D35A2E" w:rsidRDefault="00D35A2E">
      <w:pPr>
        <w:pStyle w:val="FootnoteText"/>
      </w:pPr>
      <w:r>
        <w:rPr>
          <w:rStyle w:val="FootnoteReference"/>
        </w:rPr>
        <w:footnoteRef/>
      </w:r>
      <w:r>
        <w:t xml:space="preserve"> </w:t>
      </w:r>
      <w:r>
        <w:rPr>
          <w:rFonts w:ascii="Calibri" w:hAnsi="Calibri" w:cs="Calibri"/>
          <w:i/>
          <w:iCs/>
        </w:rPr>
        <w:t xml:space="preserve">See, </w:t>
      </w:r>
      <w:r w:rsidRPr="00D35A2E">
        <w:rPr>
          <w:rFonts w:ascii="Calibri" w:hAnsi="Calibri" w:cs="Calibri"/>
        </w:rPr>
        <w:t>Section III, infra</w:t>
      </w:r>
    </w:p>
  </w:footnote>
  <w:footnote w:id="9">
    <w:p w14:paraId="43184F76" w14:textId="182445B1" w:rsidR="00B052E5" w:rsidRDefault="00B052E5">
      <w:pPr>
        <w:pStyle w:val="FootnoteText"/>
      </w:pPr>
      <w:r>
        <w:rPr>
          <w:rStyle w:val="FootnoteReference"/>
        </w:rPr>
        <w:footnoteRef/>
      </w:r>
      <w:r>
        <w:t xml:space="preserve"> </w:t>
      </w:r>
      <w:hyperlink r:id="rId5" w:history="1">
        <w:proofErr w:type="spellStart"/>
        <w:r w:rsidRPr="00E56F35">
          <w:rPr>
            <w:rStyle w:val="Hyperlink"/>
            <w:rFonts w:ascii="Calibri" w:hAnsi="Calibri" w:cs="Calibri"/>
          </w:rPr>
          <w:t>V.R.Pr.C</w:t>
        </w:r>
        <w:proofErr w:type="spellEnd"/>
        <w:r w:rsidRPr="00E56F35">
          <w:rPr>
            <w:rStyle w:val="Hyperlink"/>
            <w:rFonts w:ascii="Calibri" w:hAnsi="Calibri" w:cs="Calibri"/>
          </w:rPr>
          <w:t>. 1.2(a)</w:t>
        </w:r>
      </w:hyperlink>
    </w:p>
  </w:footnote>
  <w:footnote w:id="10">
    <w:p w14:paraId="5DCA6C69" w14:textId="01367899" w:rsidR="00AA2633" w:rsidRDefault="00AA2633">
      <w:pPr>
        <w:pStyle w:val="FootnoteText"/>
      </w:pPr>
      <w:r>
        <w:rPr>
          <w:rStyle w:val="FootnoteReference"/>
        </w:rPr>
        <w:footnoteRef/>
      </w:r>
      <w:r>
        <w:rPr>
          <w:i/>
          <w:iCs/>
        </w:rPr>
        <w:t xml:space="preserve"> </w:t>
      </w:r>
      <w:hyperlink r:id="rId6" w:history="1">
        <w:proofErr w:type="spellStart"/>
        <w:r w:rsidRPr="00AA2633">
          <w:rPr>
            <w:rStyle w:val="Hyperlink"/>
            <w:rFonts w:ascii="Calibri" w:hAnsi="Calibri" w:cs="Calibri"/>
            <w:shd w:val="clear" w:color="auto" w:fill="FFFFFF"/>
          </w:rPr>
          <w:t>V.R.Pr.C</w:t>
        </w:r>
        <w:proofErr w:type="spellEnd"/>
        <w:r w:rsidRPr="00AA2633">
          <w:rPr>
            <w:rStyle w:val="Hyperlink"/>
            <w:rFonts w:ascii="Calibri" w:hAnsi="Calibri" w:cs="Calibri"/>
            <w:shd w:val="clear" w:color="auto" w:fill="FFFFFF"/>
          </w:rPr>
          <w:t>. 1.6</w:t>
        </w:r>
      </w:hyperlink>
    </w:p>
  </w:footnote>
  <w:footnote w:id="11">
    <w:p w14:paraId="49D5FDCE" w14:textId="5F72B238" w:rsidR="00AA2633" w:rsidRDefault="00AA2633">
      <w:pPr>
        <w:pStyle w:val="FootnoteText"/>
      </w:pPr>
      <w:r>
        <w:rPr>
          <w:rStyle w:val="FootnoteReference"/>
        </w:rPr>
        <w:footnoteRef/>
      </w:r>
      <w:r>
        <w:t xml:space="preserve">  </w:t>
      </w:r>
      <w:hyperlink r:id="rId7" w:history="1">
        <w:proofErr w:type="spellStart"/>
        <w:r w:rsidRPr="00AC39F4">
          <w:rPr>
            <w:rStyle w:val="Hyperlink"/>
          </w:rPr>
          <w:t>V.R.Pr.C</w:t>
        </w:r>
        <w:proofErr w:type="spellEnd"/>
        <w:r w:rsidRPr="00AC39F4">
          <w:rPr>
            <w:rStyle w:val="Hyperlink"/>
          </w:rPr>
          <w:t>. 1.6(d)</w:t>
        </w:r>
      </w:hyperlink>
    </w:p>
  </w:footnote>
  <w:footnote w:id="12">
    <w:p w14:paraId="0C373884" w14:textId="72EE74A7" w:rsidR="00AA2633" w:rsidRDefault="00AA2633">
      <w:pPr>
        <w:pStyle w:val="FootnoteText"/>
      </w:pPr>
      <w:r>
        <w:rPr>
          <w:rStyle w:val="FootnoteReference"/>
        </w:rPr>
        <w:footnoteRef/>
      </w:r>
      <w:r>
        <w:t xml:space="preserve"> </w:t>
      </w:r>
      <w:hyperlink r:id="rId8" w:history="1">
        <w:proofErr w:type="spellStart"/>
        <w:r w:rsidRPr="00AC39F4">
          <w:rPr>
            <w:rStyle w:val="Hyperlink"/>
          </w:rPr>
          <w:t>V.R.Pr.C</w:t>
        </w:r>
        <w:proofErr w:type="spellEnd"/>
        <w:r w:rsidRPr="00AC39F4">
          <w:rPr>
            <w:rStyle w:val="Hyperlink"/>
          </w:rPr>
          <w:t xml:space="preserve">. 1.6, </w:t>
        </w:r>
        <w:proofErr w:type="spellStart"/>
        <w:r w:rsidRPr="00AC39F4">
          <w:rPr>
            <w:rStyle w:val="Hyperlink"/>
          </w:rPr>
          <w:t>Cmt</w:t>
        </w:r>
        <w:proofErr w:type="spellEnd"/>
        <w:r w:rsidRPr="00AC39F4">
          <w:rPr>
            <w:rStyle w:val="Hyperlink"/>
          </w:rPr>
          <w:t>. [18]</w:t>
        </w:r>
      </w:hyperlink>
    </w:p>
  </w:footnote>
  <w:footnote w:id="13">
    <w:p w14:paraId="4039EA12" w14:textId="537FCADD" w:rsidR="00B052E5" w:rsidRDefault="00B052E5">
      <w:pPr>
        <w:pStyle w:val="FootnoteText"/>
      </w:pPr>
      <w:r>
        <w:rPr>
          <w:rStyle w:val="FootnoteReference"/>
        </w:rPr>
        <w:footnoteRef/>
      </w:r>
      <w:r>
        <w:t xml:space="preserve"> </w:t>
      </w:r>
      <w:hyperlink r:id="rId9" w:history="1">
        <w:proofErr w:type="spellStart"/>
        <w:r w:rsidRPr="00B052E5">
          <w:rPr>
            <w:rStyle w:val="Hyperlink"/>
          </w:rPr>
          <w:t>V.R.Pr.C</w:t>
        </w:r>
        <w:proofErr w:type="spellEnd"/>
        <w:r w:rsidRPr="00B052E5">
          <w:rPr>
            <w:rStyle w:val="Hyperlink"/>
          </w:rPr>
          <w:t>. 1.6(a)</w:t>
        </w:r>
      </w:hyperlink>
    </w:p>
  </w:footnote>
  <w:footnote w:id="14">
    <w:p w14:paraId="3FDED9F8" w14:textId="52FB6E04" w:rsidR="00AC39F4" w:rsidRPr="000F3025" w:rsidRDefault="00AC39F4">
      <w:pPr>
        <w:pStyle w:val="FootnoteText"/>
        <w:rPr>
          <w:rFonts w:ascii="Calibri" w:hAnsi="Calibri" w:cs="Calibri"/>
        </w:rPr>
      </w:pPr>
      <w:r>
        <w:rPr>
          <w:rStyle w:val="FootnoteReference"/>
        </w:rPr>
        <w:footnoteRef/>
      </w:r>
      <w:r>
        <w:t xml:space="preserve"> </w:t>
      </w:r>
      <w:hyperlink r:id="rId10" w:history="1">
        <w:proofErr w:type="spellStart"/>
        <w:r w:rsidRPr="000F3025">
          <w:rPr>
            <w:rStyle w:val="Hyperlink"/>
            <w:rFonts w:ascii="Calibri" w:hAnsi="Calibri" w:cs="Calibri"/>
          </w:rPr>
          <w:t>V.R.Pr.C</w:t>
        </w:r>
        <w:proofErr w:type="spellEnd"/>
        <w:r w:rsidRPr="000F3025">
          <w:rPr>
            <w:rStyle w:val="Hyperlink"/>
            <w:rFonts w:ascii="Calibri" w:hAnsi="Calibri" w:cs="Calibri"/>
          </w:rPr>
          <w:t>. 1.0(e)</w:t>
        </w:r>
      </w:hyperlink>
    </w:p>
  </w:footnote>
  <w:footnote w:id="15">
    <w:p w14:paraId="21314B3A" w14:textId="0257ABE0" w:rsidR="00AC39F4" w:rsidRDefault="00AC39F4">
      <w:pPr>
        <w:pStyle w:val="FootnoteText"/>
      </w:pPr>
      <w:r w:rsidRPr="000F3025">
        <w:rPr>
          <w:rStyle w:val="FootnoteReference"/>
          <w:rFonts w:ascii="Calibri" w:hAnsi="Calibri" w:cs="Calibri"/>
        </w:rPr>
        <w:footnoteRef/>
      </w:r>
      <w:r w:rsidRPr="000F3025">
        <w:rPr>
          <w:rFonts w:ascii="Calibri" w:hAnsi="Calibri" w:cs="Calibri"/>
        </w:rPr>
        <w:t xml:space="preserve"> </w:t>
      </w:r>
      <w:hyperlink r:id="rId11" w:history="1">
        <w:proofErr w:type="spellStart"/>
        <w:r w:rsidRPr="000F3025">
          <w:rPr>
            <w:rStyle w:val="Hyperlink"/>
            <w:rFonts w:ascii="Calibri" w:hAnsi="Calibri" w:cs="Calibri"/>
          </w:rPr>
          <w:t>V.R.Pr.C</w:t>
        </w:r>
        <w:proofErr w:type="spellEnd"/>
        <w:r w:rsidRPr="000F3025">
          <w:rPr>
            <w:rStyle w:val="Hyperlink"/>
            <w:rFonts w:ascii="Calibri" w:hAnsi="Calibri" w:cs="Calibri"/>
          </w:rPr>
          <w:t xml:space="preserve">. 1.6, </w:t>
        </w:r>
        <w:proofErr w:type="spellStart"/>
        <w:r w:rsidRPr="000F3025">
          <w:rPr>
            <w:rStyle w:val="Hyperlink"/>
            <w:rFonts w:ascii="Calibri" w:hAnsi="Calibri" w:cs="Calibri"/>
          </w:rPr>
          <w:t>Cmt</w:t>
        </w:r>
        <w:proofErr w:type="spellEnd"/>
        <w:r w:rsidRPr="000F3025">
          <w:rPr>
            <w:rStyle w:val="Hyperlink"/>
            <w:rFonts w:ascii="Calibri" w:hAnsi="Calibri" w:cs="Calibri"/>
          </w:rPr>
          <w:t>. [3]</w:t>
        </w:r>
      </w:hyperlink>
    </w:p>
  </w:footnote>
  <w:footnote w:id="16">
    <w:p w14:paraId="76C13D93" w14:textId="37DAC60D" w:rsidR="000F3025" w:rsidRDefault="000F3025">
      <w:pPr>
        <w:pStyle w:val="FootnoteText"/>
      </w:pPr>
      <w:r>
        <w:rPr>
          <w:rStyle w:val="FootnoteReference"/>
        </w:rPr>
        <w:footnoteRef/>
      </w:r>
      <w:r>
        <w:t xml:space="preserve"> </w:t>
      </w:r>
      <w:hyperlink r:id="rId12" w:history="1">
        <w:proofErr w:type="spellStart"/>
        <w:r w:rsidRPr="000F3025">
          <w:rPr>
            <w:rStyle w:val="Hyperlink"/>
            <w:rFonts w:ascii="Calibri" w:hAnsi="Calibri" w:cs="Calibri"/>
          </w:rPr>
          <w:t>V.R.Pr.C</w:t>
        </w:r>
        <w:proofErr w:type="spellEnd"/>
        <w:r w:rsidRPr="000F3025">
          <w:rPr>
            <w:rStyle w:val="Hyperlink"/>
            <w:rFonts w:ascii="Calibri" w:hAnsi="Calibri" w:cs="Calibri"/>
          </w:rPr>
          <w:t>. 1.</w:t>
        </w:r>
        <w:r w:rsidRPr="00A02967">
          <w:rPr>
            <w:rStyle w:val="Hyperlink"/>
            <w:rFonts w:ascii="Calibri" w:hAnsi="Calibri" w:cs="Calibri"/>
            <w:i/>
            <w:iCs/>
          </w:rPr>
          <w:t>5</w:t>
        </w:r>
      </w:hyperlink>
    </w:p>
  </w:footnote>
  <w:footnote w:id="17">
    <w:p w14:paraId="7D6AC3A2" w14:textId="77777777" w:rsidR="00B052E5" w:rsidRDefault="00B052E5" w:rsidP="00B052E5">
      <w:pPr>
        <w:pStyle w:val="FootnoteText"/>
      </w:pPr>
      <w:r>
        <w:rPr>
          <w:rStyle w:val="FootnoteReference"/>
        </w:rPr>
        <w:footnoteRef/>
      </w:r>
      <w:r>
        <w:t xml:space="preserve"> </w:t>
      </w:r>
      <w:hyperlink r:id="rId13" w:history="1">
        <w:proofErr w:type="spellStart"/>
        <w:r w:rsidRPr="000F3025">
          <w:rPr>
            <w:rStyle w:val="Hyperlink"/>
          </w:rPr>
          <w:t>V.R.Pr.C</w:t>
        </w:r>
        <w:proofErr w:type="spellEnd"/>
        <w:r w:rsidRPr="000F3025">
          <w:rPr>
            <w:rStyle w:val="Hyperlink"/>
          </w:rPr>
          <w:t xml:space="preserve">. 1.5, </w:t>
        </w:r>
        <w:proofErr w:type="spellStart"/>
        <w:r w:rsidRPr="000F3025">
          <w:rPr>
            <w:rStyle w:val="Hyperlink"/>
          </w:rPr>
          <w:t>Cmt</w:t>
        </w:r>
        <w:proofErr w:type="spellEnd"/>
        <w:r w:rsidRPr="000F3025">
          <w:rPr>
            <w:rStyle w:val="Hyperlink"/>
          </w:rPr>
          <w:t>. [2]</w:t>
        </w:r>
      </w:hyperlink>
    </w:p>
  </w:footnote>
  <w:footnote w:id="18">
    <w:p w14:paraId="3FF265E1" w14:textId="19724F85" w:rsidR="00B052E5" w:rsidRPr="00B052E5" w:rsidRDefault="00B052E5">
      <w:pPr>
        <w:pStyle w:val="FootnoteText"/>
        <w:rPr>
          <w:u w:val="single"/>
        </w:rPr>
      </w:pPr>
      <w:r>
        <w:rPr>
          <w:rStyle w:val="FootnoteReference"/>
        </w:rPr>
        <w:footnoteRef/>
      </w:r>
      <w:r>
        <w:t xml:space="preserve"> </w:t>
      </w:r>
      <w:r>
        <w:rPr>
          <w:u w:val="single"/>
        </w:rPr>
        <w:t>Id.</w:t>
      </w:r>
    </w:p>
  </w:footnote>
  <w:footnote w:id="19">
    <w:p w14:paraId="4E433ABE" w14:textId="647AFE97" w:rsidR="000F3025" w:rsidRDefault="000F3025">
      <w:pPr>
        <w:pStyle w:val="FootnoteText"/>
      </w:pPr>
      <w:r>
        <w:rPr>
          <w:rStyle w:val="FootnoteReference"/>
        </w:rPr>
        <w:footnoteRef/>
      </w:r>
      <w:r>
        <w:t xml:space="preserve"> </w:t>
      </w:r>
      <w:hyperlink r:id="rId14" w:history="1">
        <w:proofErr w:type="spellStart"/>
        <w:r w:rsidRPr="000F3025">
          <w:rPr>
            <w:rStyle w:val="Hyperlink"/>
            <w:rFonts w:ascii="Calibri" w:hAnsi="Calibri" w:cs="Calibri"/>
          </w:rPr>
          <w:t>V.R.Pr.C</w:t>
        </w:r>
        <w:proofErr w:type="spellEnd"/>
        <w:r w:rsidRPr="000F3025">
          <w:rPr>
            <w:rStyle w:val="Hyperlink"/>
            <w:rFonts w:ascii="Calibri" w:hAnsi="Calibri" w:cs="Calibri"/>
          </w:rPr>
          <w:t>. 3.1</w:t>
        </w:r>
      </w:hyperlink>
      <w:r>
        <w:rPr>
          <w:rFonts w:ascii="Calibri" w:hAnsi="Calibri" w:cs="Calibri"/>
          <w:i/>
          <w:iCs/>
        </w:rPr>
        <w:t xml:space="preserve">  </w:t>
      </w:r>
    </w:p>
  </w:footnote>
  <w:footnote w:id="20">
    <w:p w14:paraId="59D40777" w14:textId="050F20F3" w:rsidR="00816617" w:rsidRDefault="00816617">
      <w:pPr>
        <w:pStyle w:val="FootnoteText"/>
      </w:pPr>
      <w:r>
        <w:rPr>
          <w:rStyle w:val="FootnoteReference"/>
        </w:rPr>
        <w:footnoteRef/>
      </w:r>
      <w:r>
        <w:t xml:space="preserve"> </w:t>
      </w:r>
      <w:hyperlink r:id="rId15" w:history="1">
        <w:proofErr w:type="spellStart"/>
        <w:r w:rsidRPr="007A7906">
          <w:rPr>
            <w:rStyle w:val="Hyperlink"/>
            <w:rFonts w:ascii="Calibri" w:hAnsi="Calibri" w:cs="Calibri"/>
          </w:rPr>
          <w:t>V.R.Pr.C</w:t>
        </w:r>
        <w:proofErr w:type="spellEnd"/>
        <w:r w:rsidRPr="007A7906">
          <w:rPr>
            <w:rStyle w:val="Hyperlink"/>
            <w:rFonts w:ascii="Calibri" w:hAnsi="Calibri" w:cs="Calibri"/>
          </w:rPr>
          <w:t>. 3.4(c)</w:t>
        </w:r>
      </w:hyperlink>
    </w:p>
  </w:footnote>
  <w:footnote w:id="21">
    <w:p w14:paraId="1AA2D241" w14:textId="3A7722A5" w:rsidR="00816617" w:rsidRDefault="00816617" w:rsidP="000600FE">
      <w:r>
        <w:rPr>
          <w:rStyle w:val="FootnoteReference"/>
        </w:rPr>
        <w:footnoteRef/>
      </w:r>
      <w:r>
        <w:t xml:space="preserve"> </w:t>
      </w:r>
      <w:r>
        <w:rPr>
          <w:rFonts w:ascii="Calibri" w:hAnsi="Calibri" w:cs="Calibri"/>
        </w:rPr>
        <w:t xml:space="preserve">There are sites that track rules that require a lawyer or litigant to disclosing the use of GAI.  One such site is </w:t>
      </w:r>
      <w:hyperlink r:id="rId16" w:history="1">
        <w:r w:rsidRPr="00FF3A79">
          <w:rPr>
            <w:rStyle w:val="Hyperlink"/>
            <w:rFonts w:ascii="Calibri" w:hAnsi="Calibri" w:cs="Calibri"/>
          </w:rPr>
          <w:t>here</w:t>
        </w:r>
      </w:hyperlink>
      <w:r>
        <w:rPr>
          <w:rFonts w:ascii="Calibri" w:hAnsi="Calibri" w:cs="Calibri"/>
        </w:rPr>
        <w:t xml:space="preserve">, another </w:t>
      </w:r>
      <w:hyperlink r:id="rId17" w:history="1">
        <w:r w:rsidRPr="00EB2888">
          <w:rPr>
            <w:rStyle w:val="Hyperlink"/>
            <w:rFonts w:ascii="Calibri" w:hAnsi="Calibri" w:cs="Calibri"/>
          </w:rPr>
          <w:t>here</w:t>
        </w:r>
      </w:hyperlink>
      <w:r>
        <w:rPr>
          <w:rFonts w:ascii="Calibri" w:hAnsi="Calibri" w:cs="Calibri"/>
        </w:rPr>
        <w:t>.</w:t>
      </w:r>
    </w:p>
  </w:footnote>
  <w:footnote w:id="22">
    <w:p w14:paraId="33705603" w14:textId="3203CB53" w:rsidR="00816617" w:rsidRDefault="00816617">
      <w:pPr>
        <w:pStyle w:val="FootnoteText"/>
      </w:pPr>
      <w:r>
        <w:rPr>
          <w:rStyle w:val="FootnoteReference"/>
        </w:rPr>
        <w:footnoteRef/>
      </w:r>
      <w:r>
        <w:t xml:space="preserve"> Respectively, </w:t>
      </w:r>
      <w:hyperlink r:id="rId18" w:history="1">
        <w:proofErr w:type="spellStart"/>
        <w:r w:rsidRPr="00447003">
          <w:rPr>
            <w:rStyle w:val="Hyperlink"/>
            <w:rFonts w:ascii="Calibri" w:hAnsi="Calibri" w:cs="Calibri"/>
          </w:rPr>
          <w:t>V.R.Pr.C</w:t>
        </w:r>
        <w:proofErr w:type="spellEnd"/>
        <w:r w:rsidRPr="00447003">
          <w:rPr>
            <w:rStyle w:val="Hyperlink"/>
            <w:rFonts w:ascii="Calibri" w:hAnsi="Calibri" w:cs="Calibri"/>
          </w:rPr>
          <w:t>. 5.1</w:t>
        </w:r>
      </w:hyperlink>
      <w:r>
        <w:rPr>
          <w:rFonts w:ascii="Calibri" w:hAnsi="Calibri" w:cs="Calibri"/>
        </w:rPr>
        <w:t xml:space="preserve"> and </w:t>
      </w:r>
      <w:hyperlink r:id="rId19" w:history="1">
        <w:proofErr w:type="spellStart"/>
        <w:r w:rsidRPr="00447003">
          <w:rPr>
            <w:rStyle w:val="Hyperlink"/>
            <w:rFonts w:ascii="Calibri" w:hAnsi="Calibri" w:cs="Calibri"/>
          </w:rPr>
          <w:t>V.R.Pr.C</w:t>
        </w:r>
        <w:proofErr w:type="spellEnd"/>
        <w:r w:rsidRPr="00447003">
          <w:rPr>
            <w:rStyle w:val="Hyperlink"/>
            <w:rFonts w:ascii="Calibri" w:hAnsi="Calibri" w:cs="Calibri"/>
          </w:rPr>
          <w:t>. 5.3</w:t>
        </w:r>
      </w:hyperlink>
    </w:p>
  </w:footnote>
  <w:footnote w:id="23">
    <w:p w14:paraId="7E55021E" w14:textId="3DC20431" w:rsidR="00816617" w:rsidRDefault="00816617">
      <w:pPr>
        <w:pStyle w:val="FootnoteText"/>
      </w:pPr>
      <w:r>
        <w:rPr>
          <w:rStyle w:val="FootnoteReference"/>
        </w:rPr>
        <w:footnoteRef/>
      </w:r>
      <w:r>
        <w:t xml:space="preserve"> </w:t>
      </w:r>
      <w:hyperlink r:id="rId20" w:history="1">
        <w:proofErr w:type="spellStart"/>
        <w:r w:rsidRPr="00816617">
          <w:rPr>
            <w:rStyle w:val="Hyperlink"/>
            <w:rFonts w:ascii="Calibri" w:hAnsi="Calibri" w:cs="Calibri"/>
          </w:rPr>
          <w:t>V.R.Pr.C</w:t>
        </w:r>
        <w:proofErr w:type="spellEnd"/>
        <w:r w:rsidRPr="00816617">
          <w:rPr>
            <w:rStyle w:val="Hyperlink"/>
            <w:rFonts w:ascii="Calibri" w:hAnsi="Calibri" w:cs="Calibri"/>
          </w:rPr>
          <w:t xml:space="preserve">. 5.3, See </w:t>
        </w:r>
        <w:proofErr w:type="spellStart"/>
        <w:r w:rsidRPr="00816617">
          <w:rPr>
            <w:rStyle w:val="Hyperlink"/>
            <w:rFonts w:ascii="Calibri" w:hAnsi="Calibri" w:cs="Calibri"/>
          </w:rPr>
          <w:t>Cmts</w:t>
        </w:r>
        <w:proofErr w:type="spellEnd"/>
        <w:r w:rsidRPr="00816617">
          <w:rPr>
            <w:rStyle w:val="Hyperlink"/>
            <w:rFonts w:ascii="Calibri" w:hAnsi="Calibri" w:cs="Calibri"/>
          </w:rPr>
          <w:t>. [1] and [3]</w:t>
        </w:r>
      </w:hyperlink>
      <w:r>
        <w:rPr>
          <w:rFonts w:ascii="Calibri" w:hAnsi="Calibri" w:cs="Calibri"/>
          <w:i/>
          <w:iCs/>
        </w:rPr>
        <w:t xml:space="preserve">  </w:t>
      </w:r>
    </w:p>
  </w:footnote>
  <w:footnote w:id="24">
    <w:p w14:paraId="2344A8E0" w14:textId="3CDC2F9F" w:rsidR="00816617" w:rsidRDefault="00816617">
      <w:pPr>
        <w:pStyle w:val="FootnoteText"/>
      </w:pPr>
      <w:r>
        <w:rPr>
          <w:rStyle w:val="FootnoteReference"/>
        </w:rPr>
        <w:footnoteRef/>
      </w:r>
      <w:r>
        <w:t xml:space="preserve"> </w:t>
      </w:r>
      <w:r>
        <w:rPr>
          <w:rFonts w:ascii="Calibri" w:hAnsi="Calibri" w:cs="Calibri"/>
          <w:i/>
          <w:iCs/>
        </w:rPr>
        <w:t xml:space="preserve">See, </w:t>
      </w:r>
      <w:hyperlink r:id="rId21" w:history="1">
        <w:proofErr w:type="spellStart"/>
        <w:r w:rsidRPr="00816617">
          <w:rPr>
            <w:rStyle w:val="Hyperlink"/>
            <w:rFonts w:ascii="Calibri" w:hAnsi="Calibri" w:cs="Calibri"/>
          </w:rPr>
          <w:t>V.R.Pr.C</w:t>
        </w:r>
        <w:proofErr w:type="spellEnd"/>
        <w:r w:rsidRPr="00816617">
          <w:rPr>
            <w:rStyle w:val="Hyperlink"/>
            <w:rFonts w:ascii="Calibri" w:hAnsi="Calibri" w:cs="Calibri"/>
          </w:rPr>
          <w:t>. 5.2</w:t>
        </w:r>
      </w:hyperlink>
    </w:p>
  </w:footnote>
  <w:footnote w:id="25">
    <w:p w14:paraId="5C834519" w14:textId="7888B634" w:rsidR="00816617" w:rsidRDefault="00816617">
      <w:pPr>
        <w:pStyle w:val="FootnoteText"/>
      </w:pPr>
      <w:r>
        <w:rPr>
          <w:rStyle w:val="FootnoteReference"/>
        </w:rPr>
        <w:footnoteRef/>
      </w:r>
      <w:r>
        <w:t xml:space="preserve"> </w:t>
      </w:r>
      <w:r>
        <w:rPr>
          <w:rFonts w:ascii="Calibri" w:hAnsi="Calibri" w:cs="Calibri"/>
          <w:i/>
          <w:iCs/>
        </w:rPr>
        <w:t xml:space="preserve">See, </w:t>
      </w:r>
      <w:proofErr w:type="spellStart"/>
      <w:r w:rsidRPr="00816617">
        <w:rPr>
          <w:rFonts w:ascii="Calibri" w:hAnsi="Calibri" w:cs="Calibri"/>
        </w:rPr>
        <w:t>V.R.Pr.C</w:t>
      </w:r>
      <w:proofErr w:type="spellEnd"/>
      <w:r w:rsidRPr="00816617">
        <w:rPr>
          <w:rFonts w:ascii="Calibri" w:hAnsi="Calibri" w:cs="Calibri"/>
        </w:rPr>
        <w:t xml:space="preserve">. 1.1, </w:t>
      </w:r>
      <w:proofErr w:type="spellStart"/>
      <w:r w:rsidRPr="00816617">
        <w:rPr>
          <w:rFonts w:ascii="Calibri" w:hAnsi="Calibri" w:cs="Calibri"/>
        </w:rPr>
        <w:t>Cmt</w:t>
      </w:r>
      <w:proofErr w:type="spellEnd"/>
      <w:r w:rsidRPr="00816617">
        <w:rPr>
          <w:rFonts w:ascii="Calibri" w:hAnsi="Calibri" w:cs="Calibri"/>
        </w:rPr>
        <w:t>. [4]</w:t>
      </w:r>
    </w:p>
  </w:footnote>
  <w:footnote w:id="26">
    <w:p w14:paraId="27B111DC" w14:textId="4B9DD38F" w:rsidR="00E7336F" w:rsidRDefault="00E7336F">
      <w:pPr>
        <w:pStyle w:val="FootnoteText"/>
      </w:pPr>
      <w:r>
        <w:rPr>
          <w:rStyle w:val="FootnoteReference"/>
        </w:rPr>
        <w:footnoteRef/>
      </w:r>
      <w:r>
        <w:t xml:space="preserve"> V.C.J.C., Rule 1.2.</w:t>
      </w:r>
    </w:p>
  </w:footnote>
  <w:footnote w:id="27">
    <w:p w14:paraId="21E7549D" w14:textId="74A4B73A" w:rsidR="00FC0090" w:rsidRDefault="00FC0090">
      <w:pPr>
        <w:pStyle w:val="FootnoteText"/>
      </w:pPr>
      <w:r>
        <w:rPr>
          <w:rStyle w:val="FootnoteReference"/>
        </w:rPr>
        <w:footnoteRef/>
      </w:r>
      <w:r>
        <w:t xml:space="preserve"> Id., </w:t>
      </w:r>
      <w:proofErr w:type="spellStart"/>
      <w:r>
        <w:t>Cmt</w:t>
      </w:r>
      <w:proofErr w:type="spellEnd"/>
      <w:r>
        <w:t>. [3].</w:t>
      </w:r>
    </w:p>
  </w:footnote>
  <w:footnote w:id="28">
    <w:p w14:paraId="316835D0" w14:textId="3FB27F5A" w:rsidR="00FC0090" w:rsidRDefault="00FC0090">
      <w:pPr>
        <w:pStyle w:val="FootnoteText"/>
      </w:pPr>
      <w:r>
        <w:rPr>
          <w:rStyle w:val="FootnoteReference"/>
        </w:rPr>
        <w:footnoteRef/>
      </w:r>
      <w:r>
        <w:t xml:space="preserve"> Id.</w:t>
      </w:r>
    </w:p>
  </w:footnote>
  <w:footnote w:id="29">
    <w:p w14:paraId="760455B5" w14:textId="4354F63C" w:rsidR="004C0F9B" w:rsidRDefault="004C0F9B">
      <w:pPr>
        <w:pStyle w:val="FootnoteText"/>
      </w:pPr>
      <w:r>
        <w:rPr>
          <w:rStyle w:val="FootnoteReference"/>
        </w:rPr>
        <w:footnoteRef/>
      </w:r>
      <w:r>
        <w:t xml:space="preserve"> V.C.J.C., Rule 2.5(A).</w:t>
      </w:r>
    </w:p>
  </w:footnote>
  <w:footnote w:id="30">
    <w:p w14:paraId="12E97EE7" w14:textId="18C3E6C3" w:rsidR="004C0F9B" w:rsidRDefault="004C0F9B">
      <w:pPr>
        <w:pStyle w:val="FootnoteText"/>
      </w:pPr>
      <w:r>
        <w:rPr>
          <w:rStyle w:val="FootnoteReference"/>
        </w:rPr>
        <w:footnoteRef/>
      </w:r>
      <w:r>
        <w:t xml:space="preserve"> V.C.J.C., Rule 2.7.</w:t>
      </w:r>
    </w:p>
  </w:footnote>
  <w:footnote w:id="31">
    <w:p w14:paraId="0D47EFED" w14:textId="620C4C59" w:rsidR="00FD23A3" w:rsidRDefault="00FD23A3">
      <w:pPr>
        <w:pStyle w:val="FootnoteText"/>
      </w:pPr>
      <w:r>
        <w:rPr>
          <w:rStyle w:val="FootnoteReference"/>
        </w:rPr>
        <w:footnoteRef/>
      </w:r>
      <w:r>
        <w:t xml:space="preserve"> V.C.J.C., Rule 2.12.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85AF2"/>
    <w:multiLevelType w:val="hybridMultilevel"/>
    <w:tmpl w:val="9BBE3678"/>
    <w:lvl w:ilvl="0" w:tplc="275C3D1A">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64316C"/>
    <w:multiLevelType w:val="hybridMultilevel"/>
    <w:tmpl w:val="67FA5188"/>
    <w:lvl w:ilvl="0" w:tplc="57B670B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37291E"/>
    <w:multiLevelType w:val="hybridMultilevel"/>
    <w:tmpl w:val="333614AA"/>
    <w:lvl w:ilvl="0" w:tplc="A8D8E20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6461C6"/>
    <w:multiLevelType w:val="hybridMultilevel"/>
    <w:tmpl w:val="E332A3FA"/>
    <w:lvl w:ilvl="0" w:tplc="3AAAD980">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9366255">
    <w:abstractNumId w:val="0"/>
  </w:num>
  <w:num w:numId="2" w16cid:durableId="1235168234">
    <w:abstractNumId w:val="3"/>
  </w:num>
  <w:num w:numId="3" w16cid:durableId="880822068">
    <w:abstractNumId w:val="2"/>
  </w:num>
  <w:num w:numId="4" w16cid:durableId="1343118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5E9"/>
    <w:rsid w:val="0002639F"/>
    <w:rsid w:val="00052787"/>
    <w:rsid w:val="000600FE"/>
    <w:rsid w:val="00071038"/>
    <w:rsid w:val="00096890"/>
    <w:rsid w:val="000F3025"/>
    <w:rsid w:val="001146F2"/>
    <w:rsid w:val="00117633"/>
    <w:rsid w:val="0013487A"/>
    <w:rsid w:val="001960FC"/>
    <w:rsid w:val="001A1029"/>
    <w:rsid w:val="001E2C12"/>
    <w:rsid w:val="001E4ED4"/>
    <w:rsid w:val="001F26B1"/>
    <w:rsid w:val="002F7C5B"/>
    <w:rsid w:val="00346265"/>
    <w:rsid w:val="003517FC"/>
    <w:rsid w:val="003944DC"/>
    <w:rsid w:val="003B6CFB"/>
    <w:rsid w:val="003B7240"/>
    <w:rsid w:val="003E1787"/>
    <w:rsid w:val="004021B9"/>
    <w:rsid w:val="00424B5F"/>
    <w:rsid w:val="00430343"/>
    <w:rsid w:val="00447003"/>
    <w:rsid w:val="004C0F9B"/>
    <w:rsid w:val="00516643"/>
    <w:rsid w:val="005172D4"/>
    <w:rsid w:val="00545261"/>
    <w:rsid w:val="00564F26"/>
    <w:rsid w:val="005F3672"/>
    <w:rsid w:val="00602CEE"/>
    <w:rsid w:val="00602CF5"/>
    <w:rsid w:val="00623735"/>
    <w:rsid w:val="006246AF"/>
    <w:rsid w:val="0065670F"/>
    <w:rsid w:val="0066036B"/>
    <w:rsid w:val="006C75AF"/>
    <w:rsid w:val="006F20B7"/>
    <w:rsid w:val="00717311"/>
    <w:rsid w:val="007445DC"/>
    <w:rsid w:val="00760BCF"/>
    <w:rsid w:val="00761E64"/>
    <w:rsid w:val="007A7906"/>
    <w:rsid w:val="007B6763"/>
    <w:rsid w:val="007E15A9"/>
    <w:rsid w:val="007E5AD2"/>
    <w:rsid w:val="007F0047"/>
    <w:rsid w:val="00816617"/>
    <w:rsid w:val="00852DCB"/>
    <w:rsid w:val="00857370"/>
    <w:rsid w:val="008B1EDA"/>
    <w:rsid w:val="008B27E7"/>
    <w:rsid w:val="008D2162"/>
    <w:rsid w:val="008D3FA9"/>
    <w:rsid w:val="00913569"/>
    <w:rsid w:val="00957916"/>
    <w:rsid w:val="00957EFB"/>
    <w:rsid w:val="00972890"/>
    <w:rsid w:val="00977EF9"/>
    <w:rsid w:val="009829FD"/>
    <w:rsid w:val="009C1B56"/>
    <w:rsid w:val="00A02967"/>
    <w:rsid w:val="00A3212D"/>
    <w:rsid w:val="00A64222"/>
    <w:rsid w:val="00A93A0A"/>
    <w:rsid w:val="00AA0376"/>
    <w:rsid w:val="00AA2633"/>
    <w:rsid w:val="00AC39F4"/>
    <w:rsid w:val="00B003B9"/>
    <w:rsid w:val="00B052E5"/>
    <w:rsid w:val="00B31FE6"/>
    <w:rsid w:val="00B350F6"/>
    <w:rsid w:val="00B623A2"/>
    <w:rsid w:val="00BB556E"/>
    <w:rsid w:val="00BF0213"/>
    <w:rsid w:val="00C445E9"/>
    <w:rsid w:val="00C57BA8"/>
    <w:rsid w:val="00C91125"/>
    <w:rsid w:val="00C95073"/>
    <w:rsid w:val="00CD116A"/>
    <w:rsid w:val="00D16653"/>
    <w:rsid w:val="00D35A2E"/>
    <w:rsid w:val="00D65556"/>
    <w:rsid w:val="00D76643"/>
    <w:rsid w:val="00D9030C"/>
    <w:rsid w:val="00DB6CF4"/>
    <w:rsid w:val="00DC772C"/>
    <w:rsid w:val="00DD1960"/>
    <w:rsid w:val="00DD48DC"/>
    <w:rsid w:val="00DE5545"/>
    <w:rsid w:val="00DE587B"/>
    <w:rsid w:val="00DF2CAB"/>
    <w:rsid w:val="00DF57CD"/>
    <w:rsid w:val="00E31AC1"/>
    <w:rsid w:val="00E51069"/>
    <w:rsid w:val="00E56F35"/>
    <w:rsid w:val="00E7336F"/>
    <w:rsid w:val="00EA60C2"/>
    <w:rsid w:val="00EB2888"/>
    <w:rsid w:val="00EB4E9C"/>
    <w:rsid w:val="00EC541B"/>
    <w:rsid w:val="00ED6AF2"/>
    <w:rsid w:val="00EF58B1"/>
    <w:rsid w:val="00F06219"/>
    <w:rsid w:val="00F2156E"/>
    <w:rsid w:val="00F65FCD"/>
    <w:rsid w:val="00F978C2"/>
    <w:rsid w:val="00FC0090"/>
    <w:rsid w:val="00FC5AF1"/>
    <w:rsid w:val="00FD23A3"/>
    <w:rsid w:val="00FE438B"/>
    <w:rsid w:val="00FF0AA3"/>
    <w:rsid w:val="00FF3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3FF7E"/>
  <w15:chartTrackingRefBased/>
  <w15:docId w15:val="{8BF3C55B-5AD1-41BF-9C5B-EE642729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45E9"/>
    <w:pPr>
      <w:spacing w:after="0" w:line="240" w:lineRule="auto"/>
    </w:pPr>
  </w:style>
  <w:style w:type="paragraph" w:styleId="ListParagraph">
    <w:name w:val="List Paragraph"/>
    <w:basedOn w:val="Normal"/>
    <w:uiPriority w:val="34"/>
    <w:qFormat/>
    <w:rsid w:val="003B7240"/>
    <w:pPr>
      <w:ind w:left="720"/>
      <w:contextualSpacing/>
    </w:pPr>
  </w:style>
  <w:style w:type="character" w:styleId="Hyperlink">
    <w:name w:val="Hyperlink"/>
    <w:basedOn w:val="DefaultParagraphFont"/>
    <w:uiPriority w:val="99"/>
    <w:unhideWhenUsed/>
    <w:rsid w:val="003B7240"/>
    <w:rPr>
      <w:color w:val="467886" w:themeColor="hyperlink"/>
      <w:u w:val="single"/>
    </w:rPr>
  </w:style>
  <w:style w:type="character" w:styleId="UnresolvedMention">
    <w:name w:val="Unresolved Mention"/>
    <w:basedOn w:val="DefaultParagraphFont"/>
    <w:uiPriority w:val="99"/>
    <w:semiHidden/>
    <w:unhideWhenUsed/>
    <w:rsid w:val="003B7240"/>
    <w:rPr>
      <w:color w:val="605E5C"/>
      <w:shd w:val="clear" w:color="auto" w:fill="E1DFDD"/>
    </w:rPr>
  </w:style>
  <w:style w:type="paragraph" w:styleId="FootnoteText">
    <w:name w:val="footnote text"/>
    <w:basedOn w:val="Normal"/>
    <w:link w:val="FootnoteTextChar"/>
    <w:uiPriority w:val="99"/>
    <w:semiHidden/>
    <w:unhideWhenUsed/>
    <w:rsid w:val="00B31F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FE6"/>
    <w:rPr>
      <w:sz w:val="20"/>
      <w:szCs w:val="20"/>
    </w:rPr>
  </w:style>
  <w:style w:type="character" w:styleId="FootnoteReference">
    <w:name w:val="footnote reference"/>
    <w:basedOn w:val="DefaultParagraphFont"/>
    <w:uiPriority w:val="99"/>
    <w:semiHidden/>
    <w:unhideWhenUsed/>
    <w:rsid w:val="00B31FE6"/>
    <w:rPr>
      <w:vertAlign w:val="superscript"/>
    </w:rPr>
  </w:style>
  <w:style w:type="paragraph" w:styleId="Revision">
    <w:name w:val="Revision"/>
    <w:hidden/>
    <w:uiPriority w:val="99"/>
    <w:semiHidden/>
    <w:rsid w:val="008573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vtbarcounsel.wordpress.com/wp-content/uploads/2022/11/v.r.pr_.c.-1.6-confidentiality-of-information.pdf" TargetMode="External"/><Relationship Id="rId13" Type="http://schemas.openxmlformats.org/officeDocument/2006/relationships/hyperlink" Target="https://vtbarcounsel.wordpress.com/wp-content/uploads/2022/11/v.r.pr_.c.-1.5-fees.pdf" TargetMode="External"/><Relationship Id="rId18" Type="http://schemas.openxmlformats.org/officeDocument/2006/relationships/hyperlink" Target="https://vtbarcounsel.wordpress.com/wp-content/uploads/2022/11/v.r.pr_.c.-5.1.-responsiblities-of-partners-managers-and-supervisory-lawyers.pdf" TargetMode="External"/><Relationship Id="rId3" Type="http://schemas.openxmlformats.org/officeDocument/2006/relationships/hyperlink" Target="https://vtbarcounsel.wordpress.com/wp-content/uploads/2022/11/v.r.pr_.c.-1.4-communication.pdf" TargetMode="External"/><Relationship Id="rId21" Type="http://schemas.openxmlformats.org/officeDocument/2006/relationships/hyperlink" Target="https://vtbarcounsel.wordpress.com/wp-content/uploads/2022/11/v.r.pr_.c.-5.2.-responsibilities-of-a-subordinate-lawyer.pdf" TargetMode="External"/><Relationship Id="rId7" Type="http://schemas.openxmlformats.org/officeDocument/2006/relationships/hyperlink" Target="https://vtbarcounsel.wordpress.com/wp-content/uploads/2022/11/v.r.pr_.c.-1.6-confidentiality-of-information.pdf" TargetMode="External"/><Relationship Id="rId12" Type="http://schemas.openxmlformats.org/officeDocument/2006/relationships/hyperlink" Target="https://vtbarcounsel.wordpress.com/wp-content/uploads/2022/11/v.r.pr_.c.-1.5-fees.pdf" TargetMode="External"/><Relationship Id="rId17" Type="http://schemas.openxmlformats.org/officeDocument/2006/relationships/hyperlink" Target="https://www.ropesgray.com/en/sites/artificial-intelligence-court-order-tracker" TargetMode="External"/><Relationship Id="rId2" Type="http://schemas.openxmlformats.org/officeDocument/2006/relationships/hyperlink" Target="https://vtbarcounsel.wordpress.com/wp-content/uploads/2022/11/v.r.pr_.c.-1.1-competence-1.pdf" TargetMode="External"/><Relationship Id="rId16" Type="http://schemas.openxmlformats.org/officeDocument/2006/relationships/hyperlink" Target="https://airtable.com/appKUCriCQDI1BxIV/shrfIAPpNKaNMnacR/tblNmp6mff8CzLuQD" TargetMode="External"/><Relationship Id="rId20" Type="http://schemas.openxmlformats.org/officeDocument/2006/relationships/hyperlink" Target="https://vtbarcounsel.wordpress.com/wp-content/uploads/2022/11/v.r.pr_.c.-5.3.-responsibilities-regarding-nonlawyer-assistants.pdf" TargetMode="External"/><Relationship Id="rId1" Type="http://schemas.openxmlformats.org/officeDocument/2006/relationships/hyperlink" Target="https://vtbarcounsel.wordpress.com/wp-content/uploads/2022/11/v.r.pr_.c.-1.1-competence-1.pdf" TargetMode="External"/><Relationship Id="rId6" Type="http://schemas.openxmlformats.org/officeDocument/2006/relationships/hyperlink" Target="https://vtbarcounsel.wordpress.com/wp-content/uploads/2022/11/v.r.pr_.c.-1.6-confidentiality-of-information.pdf" TargetMode="External"/><Relationship Id="rId11" Type="http://schemas.openxmlformats.org/officeDocument/2006/relationships/hyperlink" Target="https://vtbarcounsel.wordpress.com/wp-content/uploads/2022/11/v.r.pr_.c.-1.6-confidentiality-of-information.pdf" TargetMode="External"/><Relationship Id="rId5" Type="http://schemas.openxmlformats.org/officeDocument/2006/relationships/hyperlink" Target="https://vtbarcounsel.wordpress.com/wp-content/uploads/2022/11/v.r.pr_.c.-1.2-scope-of-representation-and-allocation-of-authority-between-lawyer-and-client-1.pdf" TargetMode="External"/><Relationship Id="rId15" Type="http://schemas.openxmlformats.org/officeDocument/2006/relationships/hyperlink" Target="https://vtbarcounsel.wordpress.com/wp-content/uploads/2022/11/v.r.pr_.c.-3.4-fairness-to-opposing-party-and-counsel.pdf" TargetMode="External"/><Relationship Id="rId10" Type="http://schemas.openxmlformats.org/officeDocument/2006/relationships/hyperlink" Target="https://vtbarcounsel.wordpress.com/wp-content/uploads/2022/11/v.r.pr_.c.-1.0-terminology.pdf" TargetMode="External"/><Relationship Id="rId19" Type="http://schemas.openxmlformats.org/officeDocument/2006/relationships/hyperlink" Target="https://vtbarcounsel.wordpress.com/wp-content/uploads/2022/11/v.r.pr_.c.-5.3.-responsibilities-regarding-nonlawyer-assistants.pdf" TargetMode="External"/><Relationship Id="rId4" Type="http://schemas.openxmlformats.org/officeDocument/2006/relationships/hyperlink" Target="https://vtbarcounsel.wordpress.com/wp-content/uploads/2022/11/v.r.pr_.c.-1.4-communication.pdf" TargetMode="External"/><Relationship Id="rId9" Type="http://schemas.openxmlformats.org/officeDocument/2006/relationships/hyperlink" Target="https://vtbarcounsel.wordpress.com/wp-content/uploads/2022/11/v.r.pr_.c.-1.6-confidentiality-of-information.pdf" TargetMode="External"/><Relationship Id="rId14" Type="http://schemas.openxmlformats.org/officeDocument/2006/relationships/hyperlink" Target="https://vtbarcounsel.wordpress.com/wp-content/uploads/2022/11/v.r.pr_.c.-3.1-meritorious-claims-conten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15D9F-20B6-46F2-BC3C-24029B4C6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1803</Words>
  <Characters>10280</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Kennedy, Michael</dc:creator>
  <cp:keywords/>
  <dc:description/>
  <cp:lastModifiedBy>Corsones, Therese</cp:lastModifiedBy>
  <cp:revision>2</cp:revision>
  <cp:lastPrinted>2025-01-27T14:02:00Z</cp:lastPrinted>
  <dcterms:created xsi:type="dcterms:W3CDTF">2025-02-27T17:01:00Z</dcterms:created>
  <dcterms:modified xsi:type="dcterms:W3CDTF">2025-02-27T17:01:00Z</dcterms:modified>
</cp:coreProperties>
</file>